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1"/>
                              <w:rPr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1"/>
                        <w:rPr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color w:val="000000"/>
                          <w:u w:val="single"/>
                        </w:rPr>
                        <w:t xml:space="preserve">                        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9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jc w:val="left"/>
        <w:rPr>
          <w:b/>
          <w:sz w:val="28"/>
          <w:szCs w:val="28"/>
          <w:u w:val="single"/>
        </w:rPr>
      </w:pPr>
      <w:r>
        <w:rPr>
          <w:b/>
          <w:sz w:val="28"/>
        </w:rPr>
        <w:t>实验名称：</w:t>
      </w:r>
      <w:r>
        <w:rPr>
          <w:rFonts w:hint="eastAsia"/>
          <w:b/>
          <w:sz w:val="28"/>
          <w:lang w:eastAsia="zh-CN"/>
        </w:rPr>
        <w:t>费米</w:t>
      </w:r>
      <w:r>
        <w:rPr>
          <w:rFonts w:hint="eastAsia"/>
          <w:b/>
          <w:sz w:val="28"/>
          <w:lang w:val="en-US" w:eastAsia="zh-CN"/>
        </w:rPr>
        <w:t>-狄拉克分布</w:t>
      </w:r>
      <w:r>
        <w:rPr>
          <w:b/>
          <w:sz w:val="28"/>
          <w:u w:val="single"/>
        </w:rPr>
        <w:t xml:space="preserve">                                 </w:t>
      </w:r>
      <w:r>
        <w:rPr>
          <w:b/>
          <w:sz w:val="28"/>
          <w:szCs w:val="28"/>
          <w:u w:val="single"/>
        </w:rPr>
        <w:t xml:space="preserve">  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08B634EC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指导教师</w:t>
      </w:r>
      <w:r>
        <w:rPr>
          <w:b/>
          <w:sz w:val="28"/>
          <w:u w:val="single"/>
        </w:rPr>
        <w:t xml:space="preserve">：                                    </w:t>
      </w:r>
      <w:r>
        <w:rPr>
          <w:b/>
          <w:sz w:val="28"/>
        </w:rPr>
        <w:t xml:space="preserve">            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21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12A09F63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 实验地点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致原楼</w:t>
      </w:r>
      <w:r>
        <w:rPr>
          <w:rFonts w:hint="eastAsia"/>
          <w:b/>
          <w:sz w:val="28"/>
          <w:u w:val="single"/>
          <w:lang w:val="en-US" w:eastAsia="zh-CN"/>
        </w:rPr>
        <w:t>210</w:t>
      </w:r>
      <w:r>
        <w:rPr>
          <w:b/>
          <w:sz w:val="28"/>
          <w:u w:val="single"/>
        </w:rPr>
        <w:t xml:space="preserve">            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default"/>
          <w:b/>
          <w:sz w:val="28"/>
          <w:u w:val="single"/>
        </w:rPr>
        <w:t>4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default"/>
          <w:b/>
          <w:sz w:val="28"/>
          <w:u w:val="single"/>
        </w:rPr>
        <w:t>7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tbl>
      <w:tblPr>
        <w:tblStyle w:val="8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CE99A">
            <w:pPr>
              <w:rPr>
                <w:rFonts w:ascii="黑体" w:hAnsi="黑体" w:eastAsia="黑体"/>
                <w:b/>
                <w:sz w:val="24"/>
              </w:rPr>
            </w:pPr>
            <w:bookmarkStart w:id="0" w:name="_GoBack"/>
            <w:r>
              <w:rPr>
                <w:rFonts w:ascii="黑体" w:hAnsi="黑体" w:eastAsia="黑体"/>
                <w:b/>
                <w:sz w:val="24"/>
              </w:rPr>
              <w:t>一、实验目的</w:t>
            </w:r>
          </w:p>
          <w:p w14:paraId="5373EDD7">
            <w:pPr>
              <w:pStyle w:val="3"/>
              <w:spacing w:line="300" w:lineRule="auto"/>
              <w:ind w:left="420"/>
              <w:rPr>
                <w:szCs w:val="21"/>
              </w:rPr>
            </w:pPr>
            <w:r>
              <w:rPr>
                <w:szCs w:val="21"/>
              </w:rPr>
              <w:t>通过实验方法验证费米-狄拉克分布律，理解其在描述费米子系统（如金属中的自由电子）统计行为中的核心作用。</w:t>
            </w:r>
          </w:p>
          <w:p w14:paraId="7D9E2036">
            <w:pPr>
              <w:pStyle w:val="3"/>
              <w:spacing w:line="300" w:lineRule="auto"/>
              <w:ind w:left="420"/>
              <w:rPr>
                <w:szCs w:val="21"/>
              </w:rPr>
            </w:pPr>
            <w:r>
              <w:t>测量并分析不同温度或不同能量状态下电子的分布情况，直观理解“费米能级”的物理意义。</w:t>
            </w:r>
          </w:p>
          <w:p w14:paraId="79B52EAC">
            <w:pPr>
              <w:pStyle w:val="3"/>
              <w:spacing w:line="300" w:lineRule="auto"/>
              <w:ind w:left="420"/>
              <w:rPr>
                <w:szCs w:val="21"/>
              </w:rPr>
            </w:pPr>
            <w:r>
              <w:t>掌握与电子能态分布相关的实验测量技术（如场发射、隧道谱等，具体取决于实验设计方案）。</w:t>
            </w:r>
          </w:p>
          <w:p w14:paraId="641B4BB1">
            <w:pPr>
              <w:spacing w:line="300" w:lineRule="auto"/>
              <w:ind w:left="420"/>
              <w:rPr>
                <w:szCs w:val="21"/>
              </w:rPr>
            </w:pPr>
          </w:p>
          <w:p w14:paraId="24B65642">
            <w:pPr>
              <w:spacing w:line="300" w:lineRule="auto"/>
              <w:ind w:left="420"/>
              <w:rPr>
                <w:szCs w:val="21"/>
              </w:rPr>
            </w:pP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二、实验原理</w:t>
            </w:r>
          </w:p>
          <w:p w14:paraId="6D8FC454">
            <w:pPr>
              <w:rPr>
                <w:rFonts w:eastAsia="黑体"/>
                <w:sz w:val="22"/>
                <w:szCs w:val="22"/>
              </w:rPr>
            </w:pPr>
          </w:p>
          <w:p w14:paraId="45B94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DejaVu Math TeX Gyre" w:eastAsia="宋体"/>
                <w:i w:val="0"/>
                <w:sz w:val="24"/>
              </w:rPr>
            </w:pPr>
            <w:r>
              <w:rPr>
                <w:rStyle w:val="11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费米-狄拉克分布函数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：</w:t>
            </w:r>
            <m:oMath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f(E)=</m:t>
              </m:r>
              <m:f>
                <m:f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1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hint="default" w:ascii="DejaVu Math TeX Gyre" w:hAnsi="DejaVu Math TeX Gyre" w:eastAsia="宋体"/>
                          <w:sz w:val="24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eastAsia="宋体"/>
                          <w:sz w:val="24"/>
                        </w:rPr>
                        <m:t>e</m:t>
                      </m:r>
                      <m:ctrlPr>
                        <w:rPr>
                          <w:rFonts w:ascii="DejaVu Math TeX Gyre" w:hAnsi="DejaVu Math TeX Gyre" w:eastAsia="宋体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eastAsia="宋体"/>
                          <w:sz w:val="24"/>
                        </w:rPr>
                        <m:t>(E−</m:t>
                      </m:r>
                      <m:sSub>
                        <m:sSubPr>
                          <m:ctrlPr>
                            <w:rPr>
                              <w:rFonts w:hint="default" w:ascii="DejaVu Math TeX Gyre" w:hAnsi="DejaVu Math TeX Gyre" w:eastAsia="宋体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4"/>
                            </w:rPr>
                            <m:t>E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DejaVu Math TeX Gyre" w:hAnsi="DejaVu Math TeX Gyre" w:eastAsia="宋体"/>
                              <w:sz w:val="24"/>
                            </w:rPr>
                            <m:t>F</m:t>
                          </m:r>
                          <m:ctrlPr>
                            <w:rPr>
                              <w:rFonts w:ascii="DejaVu Math TeX Gyre" w:hAnsi="DejaVu Math TeX Gyre" w:eastAsia="宋体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DejaVu Math TeX Gyre" w:hAnsi="DejaVu Math TeX Gyre" w:eastAsia="宋体"/>
                          <w:sz w:val="24"/>
                        </w:rPr>
                        <m:t>)/kT</m:t>
                      </m:r>
                      <m:ctrlPr>
                        <w:rPr>
                          <w:rFonts w:hint="default" w:ascii="DejaVu Math TeX Gyre" w:hAnsi="DejaVu Math TeX Gyre" w:eastAsia="宋体"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+1</m:t>
                  </m: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den>
              </m:f>
            </m:oMath>
          </w:p>
          <w:p w14:paraId="65E144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hAnsi="DejaVu Math TeX Gyre" w:eastAsia="宋体"/>
                <w:i w:val="0"/>
                <w:sz w:val="24"/>
                <w:lang w:val="en-US" w:eastAsia="zh-CN"/>
              </w:rPr>
            </w:pPr>
          </w:p>
          <w:p w14:paraId="44BC036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这个函数描述了在热平衡状态下，</w:t>
            </w:r>
            <w:r>
              <w:rPr>
                <w:rStyle w:val="11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 xml:space="preserve">一个能量为 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E</w:t>
            </w:r>
            <w:r>
              <w:rPr>
                <w:rStyle w:val="11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的特定量子态被一个费米子（如电子）占据的概率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16724F4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  <w:p w14:paraId="1D35672A">
            <w:pPr>
              <w:keepNext w:val="0"/>
              <w:keepLines w:val="0"/>
              <w:widowControl/>
              <w:suppressLineNumbers w:val="0"/>
              <w:jc w:val="left"/>
            </w:pPr>
            <m:oMath>
              <m:r>
                <m:rPr/>
                <w:rPr>
                  <w:rFonts w:hint="default" w:ascii="DejaVu Math TeX Gyre" w:hAnsi="DejaVu Math TeX Gyre" w:eastAsia="宋体" w:cs="宋体"/>
                  <w:color w:val="auto"/>
                  <w:kern w:val="0"/>
                  <w:sz w:val="24"/>
                  <w:szCs w:val="24"/>
                  <w:lang w:eastAsia="zh-CN" w:bidi="ar"/>
                </w:rPr>
                <m:t>f(E)</m:t>
              </m:r>
            </m:oMath>
            <w:r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占据概率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。取值范围在 0 到 1 之间。</w:t>
            </w:r>
          </w:p>
          <w:p w14:paraId="4C9DF56B">
            <w:pPr>
              <w:keepNext w:val="0"/>
              <w:keepLines w:val="0"/>
              <w:widowControl/>
              <w:suppressLineNumbers w:val="0"/>
              <w:jc w:val="left"/>
            </w:pPr>
            <m:oMath>
              <m:r>
                <m:rPr/>
                <w:rPr>
                  <w:rFonts w:hint="default" w:ascii="DejaVu Math TeX Gyre" w:hAnsi="DejaVu Math TeX Gyre" w:eastAsia="宋体" w:cs="宋体"/>
                  <w:color w:val="auto"/>
                  <w:kern w:val="0"/>
                  <w:sz w:val="24"/>
                  <w:szCs w:val="24"/>
                  <w:lang w:eastAsia="zh-CN" w:bidi="ar"/>
                </w:rPr>
                <m:t>E</m:t>
              </m:r>
            </m:oMath>
            <w:r>
              <m:rPr/>
              <w:rPr>
                <w:rFonts w:hint="default" w:ascii="Times New Roman" w:hAnsi="DejaVu Math TeX Gyre" w:eastAsia="宋体" w:cs="宋体"/>
                <w:i w:val="0"/>
                <w:color w:val="auto"/>
                <w:kern w:val="0"/>
                <w:sz w:val="24"/>
                <w:szCs w:val="24"/>
                <w:lang w:eastAsia="zh-CN" w:bidi="ar"/>
              </w:rPr>
              <w:t>:</w:t>
            </w:r>
            <w:r>
              <w:rPr>
                <w:rStyle w:val="11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特定的量子态的能量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。这是分布函数的自变量</w:t>
            </w:r>
          </w:p>
          <w:p w14:paraId="569B9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eastAsia="zh-CN" w:bidi="ar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E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F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</m:oMath>
            <w:r>
              <m:rPr/>
              <w:rPr>
                <w:rFonts w:hint="default" w:ascii="Times New Roman" w:hAnsi="DejaVu Math TeX Gyre" w:eastAsia="宋体" w:cs="宋体"/>
                <w:i w:val="0"/>
                <w:color w:val="auto"/>
                <w:kern w:val="0"/>
                <w:sz w:val="24"/>
                <w:szCs w:val="24"/>
                <w:lang w:eastAsia="zh-CN" w:bidi="ar"/>
              </w:rPr>
              <w:t>:费米能级</w:t>
            </w:r>
          </w:p>
          <w:p w14:paraId="10EB47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</w:rPr>
            </w:pPr>
            <m:oMath>
              <m:sSub>
                <m:sSubPr>
                  <m:ctrlPr>
                    <w:rPr>
                      <w:rFonts w:hint="default" w:ascii="DejaVu Math TeX Gyre" w:hAnsi="DejaVu Math TeX Gyre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k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DejaVu Math TeX Gyre" w:hAnsi="DejaVu Math TeX Gyre" w:eastAsia="宋体"/>
                      <w:sz w:val="24"/>
                    </w:rPr>
                    <m:t>B</m:t>
                  </m:r>
                  <m:ctrlPr>
                    <w:rPr>
                      <w:rFonts w:ascii="DejaVu Math TeX Gyre" w:hAnsi="DejaVu Math TeX Gyre" w:eastAsia="宋体"/>
                      <w:sz w:val="24"/>
                    </w:rPr>
                  </m:ctrlPr>
                </m:sub>
              </m:sSub>
            </m:oMath>
            <w:r>
              <w:rPr>
                <w:rFonts w:hint="default" w:ascii="Times New Roman" w:hAnsi="DejaVu Math TeX Gyre" w:eastAsia="宋体"/>
                <w:i w:val="0"/>
                <w:sz w:val="24"/>
              </w:rPr>
              <w:t>:</w:t>
            </w:r>
            <w:r>
              <w:rPr>
                <w:rStyle w:val="11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玻尔兹曼常数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。一个物理学基本常数</w:t>
            </w:r>
          </w:p>
          <w:p w14:paraId="011D696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m:oMath>
              <m:r>
                <m:rPr/>
                <w:rPr>
                  <w:rFonts w:hint="default" w:ascii="DejaVu Math TeX Gyre" w:hAnsi="DejaVu Math TeX Gyre" w:eastAsia="宋体"/>
                  <w:sz w:val="24"/>
                </w:rPr>
                <m:t>T</m:t>
              </m:r>
            </m:oMath>
            <w:r>
              <m:rPr/>
              <w:rPr>
                <w:rFonts w:hint="default" w:ascii="Times New Roman" w:hAnsi="DejaVu Math TeX Gyre" w:eastAsia="宋体"/>
                <w:i w:val="0"/>
                <w:sz w:val="24"/>
              </w:rPr>
              <w:t>:</w:t>
            </w:r>
            <w:r>
              <w:rPr>
                <w:rStyle w:val="11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系统的绝对温度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131C9D36">
            <w:pPr>
              <w:keepNext w:val="0"/>
              <w:keepLines w:val="0"/>
              <w:widowControl/>
              <w:suppressLineNumbers w:val="0"/>
              <w:jc w:val="left"/>
              <m:rPr/>
              <w:rPr>
                <w:rFonts w:hint="default" w:ascii="宋体" w:hAnsi="宋体" w:eastAsia="宋体" w:cs="宋体"/>
                <w:color w:val="auto"/>
                <w:kern w:val="0"/>
                <w:sz w:val="24"/>
                <w:szCs w:val="24"/>
                <w:lang w:eastAsia="zh-CN" w:bidi="ar"/>
              </w:rPr>
            </w:pPr>
          </w:p>
          <w:p w14:paraId="48D20B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hAnsi="DejaVu Math TeX Gyre" w:eastAsia="宋体" w:cs="宋体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</w:p>
          <w:p w14:paraId="6327A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eastAsia="黑体"/>
                <w:b/>
                <w:bCs/>
                <w:sz w:val="24"/>
                <w:szCs w:val="24"/>
                <w:vertAlign w:val="baseline"/>
                <w:lang w:eastAsia="zh-CN"/>
              </w:rPr>
              <w:t>费米能级：</w:t>
            </w:r>
            <w:r>
              <w:rPr>
                <w:rStyle w:val="11"/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在绝对零度（0 K）时，电子填充的最高能级</w:t>
            </w:r>
            <w: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5214779A">
            <w:pPr>
              <w:rPr>
                <w:rFonts w:eastAsia="黑体"/>
                <w:sz w:val="22"/>
                <w:szCs w:val="22"/>
              </w:rPr>
            </w:pPr>
          </w:p>
          <w:p w14:paraId="2B922155">
            <w:pPr>
              <w:rPr>
                <w:rFonts w:eastAsia="黑体"/>
                <w:sz w:val="22"/>
                <w:szCs w:val="22"/>
              </w:rPr>
            </w:pPr>
          </w:p>
          <w:p w14:paraId="3169B685">
            <w:pPr>
              <w:rPr>
                <w:rFonts w:eastAsia="黑体"/>
                <w:sz w:val="22"/>
                <w:szCs w:val="22"/>
              </w:rPr>
            </w:pPr>
          </w:p>
          <w:p w14:paraId="29BCD55B">
            <w:pPr>
              <w:rPr>
                <w:rFonts w:eastAsia="黑体"/>
                <w:sz w:val="22"/>
                <w:szCs w:val="22"/>
              </w:rPr>
            </w:pPr>
          </w:p>
          <w:p w14:paraId="1F56D4A8">
            <w:pPr>
              <w:rPr>
                <w:rFonts w:eastAsia="黑体"/>
                <w:sz w:val="22"/>
                <w:szCs w:val="22"/>
              </w:rPr>
            </w:pPr>
          </w:p>
          <w:p w14:paraId="5B2E95CE">
            <w:pPr>
              <w:rPr>
                <w:rFonts w:eastAsia="黑体"/>
                <w:sz w:val="22"/>
                <w:szCs w:val="22"/>
              </w:rPr>
            </w:pPr>
          </w:p>
          <w:p w14:paraId="0A31D6B4">
            <w:pPr>
              <w:rPr>
                <w:rFonts w:eastAsia="黑体"/>
                <w:sz w:val="22"/>
                <w:szCs w:val="22"/>
              </w:rPr>
            </w:pPr>
          </w:p>
          <w:p w14:paraId="7EC69B09">
            <w:pPr>
              <w:rPr>
                <w:rFonts w:eastAsia="黑体"/>
                <w:sz w:val="22"/>
                <w:szCs w:val="22"/>
              </w:rPr>
            </w:pPr>
          </w:p>
          <w:p w14:paraId="7F9449C0">
            <w:pPr>
              <w:rPr>
                <w:rFonts w:eastAsia="黑体"/>
                <w:sz w:val="22"/>
                <w:szCs w:val="22"/>
              </w:rPr>
            </w:pPr>
          </w:p>
          <w:p w14:paraId="0038B551">
            <w:pPr>
              <w:rPr>
                <w:rFonts w:eastAsia="黑体"/>
                <w:sz w:val="22"/>
                <w:szCs w:val="22"/>
              </w:rPr>
            </w:pPr>
          </w:p>
          <w:p w14:paraId="1AFAA6FD">
            <w:pPr>
              <w:rPr>
                <w:rFonts w:eastAsia="黑体"/>
                <w:sz w:val="22"/>
                <w:szCs w:val="22"/>
              </w:rPr>
            </w:pPr>
          </w:p>
          <w:p w14:paraId="069B25C7">
            <w:pPr>
              <w:rPr>
                <w:rFonts w:eastAsia="黑体"/>
                <w:sz w:val="22"/>
                <w:szCs w:val="22"/>
              </w:rPr>
            </w:pPr>
          </w:p>
          <w:p w14:paraId="6E8E989E"/>
          <w:p w14:paraId="5758B221"/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DA210">
            <w:pPr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三、实验仪器：</w:t>
            </w:r>
          </w:p>
          <w:p w14:paraId="0119D395">
            <w:pPr>
              <w:pStyle w:val="3"/>
              <w:ind w:firstLine="0"/>
            </w:pPr>
            <w:r>
              <w:rPr>
                <w:rStyle w:val="11"/>
                <w:rFonts w:ascii="宋体" w:hAnsi="宋体"/>
                <w:szCs w:val="21"/>
              </w:rPr>
              <w:t>场发射实验装置</w:t>
            </w:r>
            <w:r>
              <w:rPr>
                <w:rFonts w:ascii="宋体" w:hAnsi="宋体"/>
                <w:szCs w:val="21"/>
              </w:rPr>
              <w:t>：超高真空系统、场发射样品（钨针尖）、阳极、精密高压电源、微电流放大器、数据采集系统。</w:t>
            </w:r>
          </w:p>
          <w:p w14:paraId="1344338B">
            <w:pPr>
              <w:pStyle w:val="3"/>
              <w:ind w:firstLine="0"/>
            </w:pPr>
            <w:r>
              <w:rPr>
                <w:rStyle w:val="11"/>
              </w:rPr>
              <w:t>低温系统</w:t>
            </w:r>
            <w:r>
              <w:t>（如需要变温测量）：杜瓦瓶、液氮或液氦、温度传感器与控制器。</w:t>
            </w:r>
          </w:p>
          <w:p w14:paraId="568E4A0B">
            <w:pPr>
              <w:pStyle w:val="3"/>
              <w:ind w:firstLine="0"/>
            </w:pPr>
            <w:r>
              <w:rPr>
                <w:rStyle w:val="11"/>
              </w:rPr>
              <w:t>主要测量仪器</w:t>
            </w:r>
            <w:r>
              <w:t>：高精度电压表、电流表（或皮安计）、计算机（用于控制和数据记录）。</w:t>
            </w:r>
          </w:p>
          <w:p w14:paraId="47C78CFE">
            <w:pPr>
              <w:ind w:firstLine="0"/>
              <w:rPr>
                <w:rFonts w:ascii="宋体" w:hAnsi="宋体"/>
                <w:szCs w:val="21"/>
              </w:rPr>
            </w:pPr>
          </w:p>
          <w:p w14:paraId="2BCC0F2E">
            <w:pPr>
              <w:ind w:firstLine="525"/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82F84">
            <w:pPr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四、实验内容：</w:t>
            </w:r>
          </w:p>
          <w:p w14:paraId="4DB7D281">
            <w:pPr>
              <w:rPr>
                <w:rFonts w:asciiTheme="majorEastAsia" w:hAnsiTheme="majorEastAsia" w:eastAsiaTheme="majorEastAsia"/>
                <w:sz w:val="22"/>
                <w:szCs w:val="22"/>
              </w:rPr>
            </w:pPr>
            <w:r>
              <w:rPr>
                <w:rFonts w:asciiTheme="majorEastAsia" w:hAnsiTheme="majorEastAsia" w:eastAsiaTheme="majorEastAsia"/>
                <w:sz w:val="22"/>
                <w:szCs w:val="22"/>
              </w:rPr>
              <w:softHyphen/>
            </w:r>
            <w:r>
              <w:rPr>
                <w:rFonts w:asciiTheme="majorEastAsia" w:hAnsiTheme="majorEastAsia" w:eastAsiaTheme="majorEastAsia"/>
                <w:sz w:val="22"/>
                <w:szCs w:val="22"/>
              </w:rPr>
              <w:softHyphen/>
            </w:r>
            <w:r>
              <w:rPr>
                <w:rStyle w:val="11"/>
              </w:rPr>
              <w:t>系统准备</w:t>
            </w:r>
            <w:r>
              <w:t>：开启真空系统，获得所需真空度；安装并处理样品；如需低温，进行降温操作。</w:t>
            </w:r>
          </w:p>
          <w:p w14:paraId="58100C0C">
            <w:pPr>
              <w:rPr>
                <w:rFonts w:asciiTheme="majorEastAsia" w:hAnsiTheme="majorEastAsia" w:eastAsiaTheme="majorEastAsia"/>
                <w:sz w:val="22"/>
                <w:szCs w:val="22"/>
              </w:rPr>
            </w:pPr>
          </w:p>
          <w:p w14:paraId="1070B98E">
            <w:pPr>
              <w:rPr>
                <w:rFonts w:asciiTheme="majorEastAsia" w:hAnsiTheme="majorEastAsia" w:eastAsiaTheme="majorEastAsia"/>
                <w:sz w:val="22"/>
                <w:szCs w:val="22"/>
              </w:rPr>
            </w:pPr>
            <w:r>
              <w:rPr>
                <w:rStyle w:val="11"/>
              </w:rPr>
              <w:t>数据测量</w:t>
            </w:r>
            <w:r>
              <w:t>：在固定温度下，逐步改变加在样品与阳极之间的电压，同时记录对应的场发射电流，或者，在固定电压下，改变样品温度，测量电流随温度的变化关系。</w:t>
            </w:r>
          </w:p>
          <w:p w14:paraId="290AFCF0">
            <w:pPr>
              <w:rPr>
                <w:rFonts w:asciiTheme="majorEastAsia" w:hAnsiTheme="majorEastAsia" w:eastAsiaTheme="majorEastAsia"/>
                <w:sz w:val="22"/>
                <w:szCs w:val="22"/>
              </w:rPr>
            </w:pPr>
          </w:p>
          <w:p w14:paraId="2038CDFF">
            <w:pPr>
              <w:rPr>
                <w:rFonts w:asciiTheme="majorEastAsia" w:hAnsiTheme="majorEastAsia" w:eastAsiaTheme="majorEastAsia"/>
                <w:sz w:val="22"/>
                <w:szCs w:val="22"/>
              </w:rPr>
            </w:pPr>
            <w:r>
              <w:rPr>
                <w:rFonts w:asciiTheme="majorEastAsia" w:hAnsiTheme="majorEastAsia" w:eastAsiaTheme="majorEastAsia"/>
                <w:sz w:val="22"/>
                <w:szCs w:val="22"/>
              </w:rPr>
              <w:softHyphen/>
            </w:r>
            <w:r>
              <w:rPr>
                <w:rStyle w:val="11"/>
                <w:rFonts w:asciiTheme="majorEastAsia" w:hAnsiTheme="majorEastAsia" w:eastAsiaTheme="majorEastAsia"/>
                <w:szCs w:val="22"/>
              </w:rPr>
              <w:t>参数记录</w:t>
            </w:r>
            <w:r>
              <w:rPr>
                <w:rFonts w:asciiTheme="majorEastAsia" w:hAnsiTheme="majorEastAsia" w:eastAsiaTheme="majorEastAsia"/>
                <w:szCs w:val="22"/>
              </w:rPr>
              <w:t>：详细记录所有的实验条件参数（如真空度、温度、电压范围、步长等）和原始测量数据（电流、电压值）。</w:t>
            </w:r>
          </w:p>
          <w:p w14:paraId="3CC0C593">
            <w:pPr>
              <w:rPr>
                <w:rFonts w:asciiTheme="majorEastAsia" w:hAnsiTheme="majorEastAsia" w:eastAsiaTheme="majorEastAsia"/>
                <w:sz w:val="22"/>
                <w:szCs w:val="22"/>
              </w:rPr>
            </w:pPr>
            <w:r>
              <w:rPr>
                <w:rFonts w:asciiTheme="majorEastAsia" w:hAnsiTheme="majorEastAsia" w:eastAsiaTheme="majorEastAsia"/>
                <w:sz w:val="22"/>
                <w:szCs w:val="22"/>
              </w:rPr>
              <w:softHyphen/>
            </w:r>
            <w:r>
              <w:rPr>
                <w:rStyle w:val="11"/>
                <w:rFonts w:asciiTheme="majorEastAsia" w:hAnsiTheme="majorEastAsia" w:eastAsiaTheme="majorEastAsia"/>
                <w:sz w:val="22"/>
                <w:szCs w:val="22"/>
              </w:rPr>
              <w:t>现象观察</w:t>
            </w:r>
            <w:r>
              <w:rPr>
                <w:rFonts w:asciiTheme="majorEastAsia" w:hAnsiTheme="majorEastAsia" w:eastAsiaTheme="majorEastAsia"/>
                <w:sz w:val="22"/>
                <w:szCs w:val="22"/>
              </w:rPr>
              <w:t>：观察电流-电压曲线的特征，与理论预期进行初步对比。</w:t>
            </w:r>
          </w:p>
          <w:p w14:paraId="429A09BD">
            <w:pPr>
              <w:rPr>
                <w:rFonts w:asciiTheme="majorEastAsia" w:hAnsiTheme="majorEastAsia" w:eastAsiaTheme="majorEastAsia"/>
                <w:sz w:val="22"/>
                <w:szCs w:val="22"/>
              </w:rPr>
            </w:pPr>
          </w:p>
          <w:p w14:paraId="3474099A">
            <w:pPr>
              <w:rPr>
                <w:rFonts w:eastAsia="黑体"/>
                <w:sz w:val="24"/>
              </w:rPr>
            </w:pPr>
          </w:p>
          <w:p w14:paraId="49B70126">
            <w:pPr>
              <w:rPr>
                <w:rFonts w:eastAsia="黑体"/>
                <w:sz w:val="24"/>
              </w:rPr>
            </w:pPr>
          </w:p>
          <w:p w14:paraId="7B687125">
            <w:pPr>
              <w:rPr>
                <w:rFonts w:eastAsia="黑体"/>
                <w:sz w:val="24"/>
              </w:rPr>
            </w:pPr>
          </w:p>
          <w:p w14:paraId="5A742183">
            <w:pPr>
              <w:rPr>
                <w:rFonts w:eastAsia="黑体"/>
                <w:sz w:val="24"/>
              </w:rPr>
            </w:pPr>
          </w:p>
          <w:p w14:paraId="14F9A5D7">
            <w:pPr>
              <w:rPr>
                <w:rFonts w:eastAsia="黑体"/>
                <w:sz w:val="24"/>
              </w:rPr>
            </w:pPr>
          </w:p>
          <w:p w14:paraId="46F2A472">
            <w:pPr>
              <w:rPr>
                <w:rFonts w:eastAsia="黑体"/>
                <w:sz w:val="24"/>
              </w:rPr>
            </w:pPr>
          </w:p>
          <w:p w14:paraId="5414EDF0">
            <w:pPr>
              <w:rPr>
                <w:rFonts w:eastAsia="黑体"/>
                <w:sz w:val="24"/>
              </w:rPr>
            </w:pPr>
          </w:p>
          <w:p w14:paraId="4EF09D6B">
            <w:pPr>
              <w:rPr>
                <w:rFonts w:eastAsia="黑体"/>
                <w:sz w:val="24"/>
              </w:rPr>
            </w:pPr>
          </w:p>
          <w:p w14:paraId="2B36C16D">
            <w:pPr>
              <w:rPr>
                <w:rFonts w:eastAsia="黑体"/>
                <w:sz w:val="24"/>
              </w:rPr>
            </w:pPr>
          </w:p>
          <w:p w14:paraId="4E2F80B0">
            <w:pPr>
              <w:rPr>
                <w:rFonts w:eastAsia="黑体"/>
                <w:sz w:val="24"/>
              </w:rPr>
            </w:pPr>
          </w:p>
          <w:p w14:paraId="709F9233">
            <w:pPr>
              <w:rPr>
                <w:rFonts w:eastAsia="黑体"/>
                <w:sz w:val="24"/>
              </w:rPr>
            </w:pPr>
          </w:p>
          <w:p w14:paraId="5BF713B4">
            <w:pPr>
              <w:rPr>
                <w:rFonts w:eastAsia="黑体"/>
                <w:sz w:val="24"/>
              </w:rPr>
            </w:pPr>
          </w:p>
          <w:p w14:paraId="4D57E070">
            <w:pPr>
              <w:rPr>
                <w:rFonts w:eastAsia="黑体"/>
                <w:sz w:val="24"/>
              </w:rPr>
            </w:pPr>
          </w:p>
          <w:p w14:paraId="44E1D1C9">
            <w:pPr>
              <w:rPr>
                <w:rFonts w:eastAsia="黑体"/>
                <w:sz w:val="24"/>
              </w:rPr>
            </w:pPr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sz w:val="24"/>
              </w:rPr>
              <w:t>五、数据记录</w:t>
            </w:r>
            <w:r>
              <w:rPr>
                <w:sz w:val="24"/>
              </w:rPr>
              <w:t>：</w:t>
            </w:r>
          </w:p>
          <w:p w14:paraId="733DA16C">
            <w:pPr>
              <w:spacing w:line="360" w:lineRule="auto"/>
              <w:ind w:firstLine="420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/>
                <w:szCs w:val="21"/>
              </w:rPr>
              <w:t>组号：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color w:val="003366"/>
                <w:szCs w:val="21"/>
                <w:u w:val="single"/>
              </w:rPr>
              <w:t xml:space="preserve">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；姓名</w:t>
            </w:r>
          </w:p>
          <w:p w14:paraId="31E74F10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C22379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851F7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436D44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330335F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9FDCFA9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6FFA43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7EAC58F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CF8A8D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61A21B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A5C5E0E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B2371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B63308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ED76E9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2069AD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36E4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2CFF5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26DA97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4B560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625A0EF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B3D8A90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055752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F53D90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1E2B13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22912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0E0769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F6E8228">
            <w:pPr>
              <w:spacing w:line="360" w:lineRule="auto"/>
              <w:rPr>
                <w:rFonts w:eastAsia="黑体"/>
                <w:sz w:val="24"/>
              </w:rPr>
            </w:pP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</w:rPr>
              <w:t>六、数据处理</w:t>
            </w:r>
          </w:p>
          <w:p w14:paraId="7DCED1E0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C7DDF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72B97E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8D964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A5084F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3E2D02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2009A4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B5898B2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8E139DC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84F5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2BE0D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31433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80876D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EBD84C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B9B84CB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30DB624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E586DB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C86E81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80882D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42D49A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999D9C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205F2CB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49374C5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1FB07E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ADAFC0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B897C2C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FCD26E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611BA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E6AB361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</w:rPr>
              <w:t>七、结果陈述：</w:t>
            </w:r>
          </w:p>
          <w:p w14:paraId="609E848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1E0362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54E8F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74F2FB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38D05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595A8432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709153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BDA61A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7EB65D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068504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0B93C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114DA1D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2E4F03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F018AA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741A87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137509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4A9AD9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F0CECC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115F6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7C5C96A0">
            <w:pPr>
              <w:rPr>
                <w:szCs w:val="21"/>
              </w:rPr>
            </w:pPr>
          </w:p>
          <w:p w14:paraId="4785984E">
            <w:pPr>
              <w:rPr>
                <w:szCs w:val="21"/>
              </w:rPr>
            </w:pPr>
          </w:p>
          <w:p w14:paraId="36F116AA">
            <w:pPr>
              <w:rPr>
                <w:szCs w:val="21"/>
              </w:rPr>
            </w:pPr>
          </w:p>
          <w:p w14:paraId="3EF8470B">
            <w:pPr>
              <w:rPr>
                <w:szCs w:val="21"/>
              </w:rPr>
            </w:pPr>
          </w:p>
          <w:p w14:paraId="47560446">
            <w:pPr>
              <w:rPr>
                <w:szCs w:val="21"/>
              </w:rPr>
            </w:pPr>
          </w:p>
          <w:p w14:paraId="00B4DAE8">
            <w:pPr>
              <w:rPr>
                <w:szCs w:val="21"/>
              </w:rPr>
            </w:pPr>
          </w:p>
          <w:p w14:paraId="683D2425">
            <w:pPr>
              <w:rPr>
                <w:szCs w:val="21"/>
              </w:rPr>
            </w:pPr>
          </w:p>
          <w:p w14:paraId="797629D4">
            <w:pPr>
              <w:rPr>
                <w:szCs w:val="21"/>
              </w:rPr>
            </w:pP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9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  <w:bookmarkEnd w:id="0"/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黑体">
    <w:altName w:val="Droid Sans Fallback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黑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MS Mincho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GWZT-EN">
    <w:panose1 w:val="02000000000000000000"/>
    <w:charset w:val="86"/>
    <w:family w:val="auto"/>
    <w:pitch w:val="default"/>
    <w:sig w:usb0="0000000F" w:usb1="28810000" w:usb2="00000000" w:usb3="00000000" w:csb0="001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9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9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0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0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5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5"/>
                            <w:rPr>
                              <w:rStyle w:val="12"/>
                            </w:rPr>
                          </w:pPr>
                          <w:r>
                            <w:rPr>
                              <w:rStyle w:val="12"/>
                            </w:rPr>
                            <w:fldChar w:fldCharType="begin"/>
                          </w:r>
                          <w:r>
                            <w:rPr>
                              <w:rStyle w:val="12"/>
                            </w:rPr>
                            <w:instrText xml:space="preserve"> PAGE </w:instrText>
                          </w:r>
                          <w:r>
                            <w:rPr>
                              <w:rStyle w:val="12"/>
                            </w:rPr>
                            <w:fldChar w:fldCharType="separate"/>
                          </w:r>
                          <w:r>
                            <w:rPr>
                              <w:rStyle w:val="12"/>
                            </w:rPr>
                            <w:t>9</w:t>
                          </w:r>
                          <w:r>
                            <w:rPr>
                              <w:rStyle w:val="12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5"/>
                      <w:rPr>
                        <w:rStyle w:val="12"/>
                      </w:rPr>
                    </w:pPr>
                    <w:r>
                      <w:rPr>
                        <w:rStyle w:val="12"/>
                      </w:rPr>
                      <w:fldChar w:fldCharType="begin"/>
                    </w:r>
                    <w:r>
                      <w:rPr>
                        <w:rStyle w:val="12"/>
                      </w:rPr>
                      <w:instrText xml:space="preserve"> PAGE </w:instrText>
                    </w:r>
                    <w:r>
                      <w:rPr>
                        <w:rStyle w:val="12"/>
                      </w:rPr>
                      <w:fldChar w:fldCharType="separate"/>
                    </w:r>
                    <w:r>
                      <w:rPr>
                        <w:rStyle w:val="12"/>
                      </w:rPr>
                      <w:t>9</w:t>
                    </w:r>
                    <w:r>
                      <w:rPr>
                        <w:rStyle w:val="1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E67C6AA"/>
    <w:rsid w:val="7EFB002B"/>
    <w:rsid w:val="F77F0CF5"/>
    <w:rsid w:val="FEB799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Body Text Indent"/>
    <w:basedOn w:val="1"/>
    <w:uiPriority w:val="0"/>
    <w:pPr>
      <w:spacing w:line="400" w:lineRule="exact"/>
      <w:ind w:firstLine="420"/>
      <w:jc w:val="left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"/>
    <w:basedOn w:val="3"/>
    <w:uiPriority w:val="0"/>
    <w:rPr>
      <w:rFonts w:cs="Noto Sans CJK SC"/>
    </w:rPr>
  </w:style>
  <w:style w:type="table" w:styleId="9">
    <w:name w:val="Table Grid"/>
    <w:basedOn w:val="8"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basedOn w:val="10"/>
    <w:uiPriority w:val="0"/>
  </w:style>
  <w:style w:type="character" w:styleId="13">
    <w:name w:val="Placeholder Text"/>
    <w:basedOn w:val="10"/>
    <w:unhideWhenUsed/>
    <w:qFormat/>
    <w:uiPriority w:val="99"/>
    <w:rPr>
      <w:color w:val="808080"/>
    </w:rPr>
  </w:style>
  <w:style w:type="character" w:customStyle="1" w:styleId="14">
    <w:name w:val="richtext"/>
    <w:basedOn w:val="10"/>
    <w:qFormat/>
    <w:uiPriority w:val="0"/>
  </w:style>
  <w:style w:type="character" w:customStyle="1" w:styleId="15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6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7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18">
    <w:name w:val="页眉与页脚"/>
    <w:basedOn w:val="1"/>
    <w:qFormat/>
    <w:uiPriority w:val="0"/>
  </w:style>
  <w:style w:type="paragraph" w:customStyle="1" w:styleId="19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0">
    <w:name w:val="List Paragraph"/>
    <w:basedOn w:val="1"/>
    <w:qFormat/>
    <w:uiPriority w:val="99"/>
    <w:pPr>
      <w:ind w:firstLine="420"/>
    </w:pPr>
  </w:style>
  <w:style w:type="paragraph" w:customStyle="1" w:styleId="21">
    <w:name w:val="框架内容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643</Words>
  <Characters>647</Characters>
  <Paragraphs>47</Paragraphs>
  <TotalTime>4</TotalTime>
  <ScaleCrop>false</ScaleCrop>
  <LinksUpToDate>false</LinksUpToDate>
  <CharactersWithSpaces>974</CharactersWithSpaces>
  <Application>WPS Office_12.1.2.25838_F1E327BC-269C-435d-A152-05C5408002CA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2022-05-14T15:52:00Z</dcterms:created>
  <dc:creator>User</dc:creator>
  <cp:lastModifiedBy>abalone</cp:lastModifiedBy>
  <cp:lastPrinted>2022-05-09T18:20:00Z</cp:lastPrinted>
  <dcterms:modified xsi:type="dcterms:W3CDTF">2026-04-07T17:17:55Z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7950D423A3194957B6AC02F62CA6DDC5</vt:lpwstr>
  </property>
  <property fmtid="{D5CDD505-2E9C-101B-9397-08002B2CF9AE}" pid="3" name="KSOProductBuildVer">
    <vt:lpwstr>2052-12.1.2.25838</vt:lpwstr>
  </property>
</Properties>
</file>