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D346B" w14:textId="77777777" w:rsidR="00E40ED0" w:rsidRPr="00E40ED0" w:rsidRDefault="00E40ED0" w:rsidP="00E40ED0">
      <w:pPr>
        <w:rPr>
          <w:rFonts w:hint="eastAsia"/>
        </w:rPr>
      </w:pPr>
      <w:r w:rsidRPr="00E40ED0">
        <w:rPr>
          <w:b/>
          <w:bCs/>
        </w:rPr>
        <w:t>[Style &amp; Overall Aesthetic]</w:t>
      </w:r>
    </w:p>
    <w:p w14:paraId="4B90DD6A" w14:textId="77777777" w:rsidR="00E40ED0" w:rsidRPr="00E40ED0" w:rsidRDefault="00E40ED0" w:rsidP="00E40ED0">
      <w:pPr>
        <w:rPr>
          <w:rFonts w:hint="eastAsia"/>
        </w:rPr>
      </w:pPr>
      <w:r w:rsidRPr="00E40ED0">
        <w:t>A professional, high-end academic infographic flowchart suitable for an ACM conference paper introduction. The style should be clean, minimalist vector illustration, avoiding cluttered 3D effects. Use a sophisticated academic color palette: primary tones of deep navy blue and slate gray, with functional accents of teal (for algorithms) and subtle orange (for optimization targets/feedback). The background must be pure white. The design must feel highly structured, modular, and hierarchical, reflecting a systematic decomposition of an NP-hard problem. Keep textual elements minimal, using clear sans-serif typography, relying primarily on universally understood computer science iconography and spatial organization to convey meaning.</w:t>
      </w:r>
    </w:p>
    <w:p w14:paraId="0F8AFE9B" w14:textId="77777777" w:rsidR="00E40ED0" w:rsidRPr="00E40ED0" w:rsidRDefault="00E40ED0" w:rsidP="00E40ED0">
      <w:pPr>
        <w:rPr>
          <w:rFonts w:hint="eastAsia"/>
        </w:rPr>
      </w:pPr>
      <w:r w:rsidRPr="00E40ED0">
        <w:rPr>
          <w:b/>
          <w:bCs/>
        </w:rPr>
        <w:t>[Structural Layout]</w:t>
      </w:r>
    </w:p>
    <w:p w14:paraId="625644A4" w14:textId="77777777" w:rsidR="00E40ED0" w:rsidRPr="00E40ED0" w:rsidRDefault="00E40ED0" w:rsidP="00E40ED0">
      <w:pPr>
        <w:rPr>
          <w:rFonts w:hint="eastAsia"/>
        </w:rPr>
      </w:pPr>
      <w:r w:rsidRPr="00E40ED0">
        <w:t>The layout is a top-to-bottom vertical pipeline representing the four parameter layers of the scheduling framework, unified by an outer feedback loop. The entire pipeline sits inside a bounding box titled "Hierarchical Scheduling Framework." The flow demonstrates how each layer is finalized sequentially, with high-level structures dictating the constraints of the fundamental building blocks below them.</w:t>
      </w:r>
    </w:p>
    <w:p w14:paraId="22943A98" w14:textId="77777777" w:rsidR="00E40ED0" w:rsidRPr="00E40ED0" w:rsidRDefault="00E40ED0" w:rsidP="00E40ED0">
      <w:pPr>
        <w:rPr>
          <w:rFonts w:hint="eastAsia"/>
        </w:rPr>
      </w:pPr>
      <w:r w:rsidRPr="00E40ED0">
        <w:rPr>
          <w:b/>
          <w:bCs/>
        </w:rPr>
        <w:t>[Detailed Module Descriptions]</w:t>
      </w:r>
    </w:p>
    <w:p w14:paraId="32FA8220" w14:textId="77777777" w:rsidR="002F3A66" w:rsidRPr="002F3A66" w:rsidRDefault="00E40ED0" w:rsidP="002F3A66">
      <w:pPr>
        <w:numPr>
          <w:ilvl w:val="1"/>
          <w:numId w:val="1"/>
        </w:numPr>
        <w:rPr>
          <w:rFonts w:hint="eastAsia"/>
        </w:rPr>
      </w:pPr>
      <w:r w:rsidRPr="00E40ED0">
        <w:rPr>
          <w:b/>
          <w:bCs/>
        </w:rPr>
        <w:t>Top Module - Layer 1: Subgraphs (Simulated Annealing):</w:t>
      </w:r>
      <w:r w:rsidRPr="00E40ED0">
        <w:t xml:space="preserve"> * </w:t>
      </w:r>
      <w:r w:rsidRPr="00E40ED0">
        <w:rPr>
          <w:i/>
          <w:iCs/>
        </w:rPr>
        <w:t>Visuals:</w:t>
      </w:r>
      <w:r w:rsidRPr="00E40ED0">
        <w:t xml:space="preserve"> </w:t>
      </w:r>
      <w:r w:rsidR="002F3A66" w:rsidRPr="002F3A66">
        <w:t>A data flow diagram or computational graph split into two distinct subgraphs, rendered in a technical schematic style with clean lines and clear text labels against a neutral background. The diagram has a horizontal flow from left to right, split by a visible cut.</w:t>
      </w:r>
    </w:p>
    <w:p w14:paraId="4F5EDA71" w14:textId="77777777" w:rsidR="002F3A66" w:rsidRPr="002F3A66" w:rsidRDefault="002F3A66" w:rsidP="002F3A66">
      <w:pPr>
        <w:numPr>
          <w:ilvl w:val="1"/>
          <w:numId w:val="1"/>
        </w:numPr>
        <w:rPr>
          <w:rFonts w:hint="eastAsia"/>
        </w:rPr>
      </w:pPr>
      <w:r w:rsidRPr="002F3A66">
        <w:t xml:space="preserve">On the left, within a translucent yellow-shaded region labeled "subgraph0" above it, are three light-blue circular tensor nodes and one light-purple rectangular operation node. The nodes are arranged as inputs: </w:t>
      </w:r>
      <w:proofErr w:type="gramStart"/>
      <w:r w:rsidRPr="002F3A66">
        <w:t>Tensor[</w:t>
      </w:r>
      <w:proofErr w:type="gramEnd"/>
      <w:r w:rsidRPr="002F3A66">
        <w:t xml:space="preserve">0] (top-left) and Tensor[1] (bottom-left) point with arrows to a central rectangular node Op[0]. From </w:t>
      </w:r>
      <w:proofErr w:type="gramStart"/>
      <w:r w:rsidRPr="002F3A66">
        <w:t>Op[</w:t>
      </w:r>
      <w:proofErr w:type="gramEnd"/>
      <w:r w:rsidRPr="002F3A66">
        <w:t>0], an output arrow points to a right tensor node Tensor[3].</w:t>
      </w:r>
    </w:p>
    <w:p w14:paraId="04EF1292" w14:textId="77777777" w:rsidR="002F3A66" w:rsidRPr="002F3A66" w:rsidRDefault="002F3A66" w:rsidP="002F3A66">
      <w:pPr>
        <w:numPr>
          <w:ilvl w:val="1"/>
          <w:numId w:val="1"/>
        </w:numPr>
        <w:rPr>
          <w:rFonts w:hint="eastAsia"/>
        </w:rPr>
      </w:pPr>
      <w:r w:rsidRPr="002F3A66">
        <w:t xml:space="preserve">An arrow originating from </w:t>
      </w:r>
      <w:proofErr w:type="gramStart"/>
      <w:r w:rsidRPr="002F3A66">
        <w:t>Tensor[</w:t>
      </w:r>
      <w:proofErr w:type="gramEnd"/>
      <w:r w:rsidRPr="002F3A66">
        <w:t>3] is visibly broken, marked by a dashed line gap. At this gap, a detailed pair of red-handled scissors is positioned, severing the connection.</w:t>
      </w:r>
    </w:p>
    <w:p w14:paraId="62A825A2" w14:textId="77777777" w:rsidR="002F3A66" w:rsidRPr="002F3A66" w:rsidRDefault="002F3A66" w:rsidP="002F3A66">
      <w:pPr>
        <w:numPr>
          <w:ilvl w:val="1"/>
          <w:numId w:val="1"/>
        </w:numPr>
        <w:rPr>
          <w:rFonts w:hint="eastAsia"/>
        </w:rPr>
      </w:pPr>
      <w:r w:rsidRPr="002F3A66">
        <w:t xml:space="preserve">On the right, within a second translucent yellow-shaded region labeled "subgraph1" above it, is a central light-purple rectangular operation node </w:t>
      </w:r>
      <w:proofErr w:type="gramStart"/>
      <w:r w:rsidRPr="002F3A66">
        <w:t>Op[</w:t>
      </w:r>
      <w:proofErr w:type="gramEnd"/>
      <w:r w:rsidRPr="002F3A66">
        <w:t xml:space="preserve">1]. An input arrow continuing from the cut points to its top input. Another input arrow from a light-blue circular tensor node </w:t>
      </w:r>
      <w:r w:rsidRPr="002F3A66">
        <w:lastRenderedPageBreak/>
        <w:t>Tensor[2], located at the bottom of the region, points to its bottom input. From Op[1], an output arrow points to a final right light-blue circular tensor node Tensor[4].</w:t>
      </w:r>
    </w:p>
    <w:p w14:paraId="67B89356" w14:textId="77777777" w:rsidR="002F3A66" w:rsidRPr="002F3A66" w:rsidRDefault="002F3A66" w:rsidP="002F3A66">
      <w:pPr>
        <w:numPr>
          <w:ilvl w:val="1"/>
          <w:numId w:val="1"/>
        </w:numPr>
        <w:rPr>
          <w:rFonts w:hint="eastAsia"/>
        </w:rPr>
      </w:pPr>
      <w:r w:rsidRPr="002F3A66">
        <w:t>All text labels (</w:t>
      </w:r>
      <w:proofErr w:type="gramStart"/>
      <w:r w:rsidRPr="002F3A66">
        <w:t>Tensor[</w:t>
      </w:r>
      <w:proofErr w:type="gramEnd"/>
      <w:r w:rsidRPr="002F3A66">
        <w:t>0..4], Op[0..1], "subgraph0", "subgraph1") are clearly legible in black sans-serif font. The lighting is even. Background is clean white.</w:t>
      </w:r>
    </w:p>
    <w:p w14:paraId="1B0EC427" w14:textId="2EF94221" w:rsidR="00E40ED0" w:rsidRPr="00E40ED0" w:rsidRDefault="00E40ED0" w:rsidP="006E7F95">
      <w:pPr>
        <w:numPr>
          <w:ilvl w:val="1"/>
          <w:numId w:val="1"/>
        </w:numPr>
        <w:rPr>
          <w:rFonts w:hint="eastAsia"/>
        </w:rPr>
      </w:pPr>
      <w:r w:rsidRPr="00E40ED0">
        <w:rPr>
          <w:i/>
          <w:iCs/>
        </w:rPr>
        <w:t>Minimal Text:</w:t>
      </w:r>
      <w:r w:rsidRPr="00E40ED0">
        <w:t xml:space="preserve"> "Layer 1: Subgraphs (Simulated Annealing)"</w:t>
      </w:r>
    </w:p>
    <w:p w14:paraId="2087BED2" w14:textId="77777777" w:rsidR="00E40ED0" w:rsidRPr="00E40ED0" w:rsidRDefault="00E40ED0" w:rsidP="00E40ED0">
      <w:pPr>
        <w:numPr>
          <w:ilvl w:val="0"/>
          <w:numId w:val="1"/>
        </w:numPr>
        <w:rPr>
          <w:rFonts w:hint="eastAsia"/>
        </w:rPr>
      </w:pPr>
      <w:r w:rsidRPr="00E40ED0">
        <w:rPr>
          <w:b/>
          <w:bCs/>
        </w:rPr>
        <w:t>Second Module - Layer 2: Tensors to Retain (Dynamic Programming):</w:t>
      </w:r>
    </w:p>
    <w:p w14:paraId="77BE90F9" w14:textId="77777777" w:rsidR="002F3A66" w:rsidRPr="002F3A66" w:rsidRDefault="00E40ED0" w:rsidP="00B7689F">
      <w:pPr>
        <w:numPr>
          <w:ilvl w:val="1"/>
          <w:numId w:val="1"/>
        </w:numPr>
        <w:rPr>
          <w:rFonts w:hint="eastAsia"/>
        </w:rPr>
      </w:pPr>
      <w:r w:rsidRPr="00E40ED0">
        <w:rPr>
          <w:i/>
          <w:iCs/>
        </w:rPr>
        <w:t>Visuals:</w:t>
      </w:r>
      <w:r w:rsidRPr="00E40ED0">
        <w:t xml:space="preserve"> </w:t>
      </w:r>
      <w:r w:rsidR="002F3A66" w:rsidRPr="002F3A66">
        <w:t xml:space="preserve">A clean, grey-scale, technical schematic diagram titled "DP of </w:t>
      </w:r>
      <w:proofErr w:type="spellStart"/>
      <w:r w:rsidR="002F3A66" w:rsidRPr="002F3A66">
        <w:t>Tensors_to_Retain</w:t>
      </w:r>
      <w:proofErr w:type="spellEnd"/>
      <w:r w:rsidR="002F3A66" w:rsidRPr="002F3A66">
        <w:t>" at the top center. Below the title is a horizontal sequence of three grey-shaded, vertically stacked 2x1 rectangular blocks. Above the blocks, from left to right, are the labels "i-1", "</w:t>
      </w:r>
      <w:proofErr w:type="spellStart"/>
      <w:r w:rsidR="002F3A66" w:rsidRPr="002F3A66">
        <w:t>i</w:t>
      </w:r>
      <w:proofErr w:type="spellEnd"/>
      <w:r w:rsidR="002F3A66" w:rsidRPr="002F3A66">
        <w:t>", and "i+1", representing successive time steps. Each of the three blocks contains a top cell with the number "0" and a bottom cell with the number "1", representing binary states. A network of unidirectional arrows illustrates state transitions. One large, open-headed arrow points into the diagram from the left. Between block "i-1" and block "</w:t>
      </w:r>
      <w:proofErr w:type="spellStart"/>
      <w:r w:rsidR="002F3A66" w:rsidRPr="002F3A66">
        <w:t>i</w:t>
      </w:r>
      <w:proofErr w:type="spellEnd"/>
      <w:r w:rsidR="002F3A66" w:rsidRPr="002F3A66">
        <w:t>", there is a complete bipartite network of arrows: arrows from (i-1, 0) point to both (</w:t>
      </w:r>
      <w:proofErr w:type="spellStart"/>
      <w:r w:rsidR="002F3A66" w:rsidRPr="002F3A66">
        <w:t>i</w:t>
      </w:r>
      <w:proofErr w:type="spellEnd"/>
      <w:r w:rsidR="002F3A66" w:rsidRPr="002F3A66">
        <w:t>, 0) and (</w:t>
      </w:r>
      <w:proofErr w:type="spellStart"/>
      <w:r w:rsidR="002F3A66" w:rsidRPr="002F3A66">
        <w:t>i</w:t>
      </w:r>
      <w:proofErr w:type="spellEnd"/>
      <w:r w:rsidR="002F3A66" w:rsidRPr="002F3A66">
        <w:t>, 1); arrows from (i-1, 1) point to both (</w:t>
      </w:r>
      <w:proofErr w:type="spellStart"/>
      <w:r w:rsidR="002F3A66" w:rsidRPr="002F3A66">
        <w:t>i</w:t>
      </w:r>
      <w:proofErr w:type="spellEnd"/>
      <w:r w:rsidR="002F3A66" w:rsidRPr="002F3A66">
        <w:t>, 0) and (</w:t>
      </w:r>
      <w:proofErr w:type="spellStart"/>
      <w:r w:rsidR="002F3A66" w:rsidRPr="002F3A66">
        <w:t>i</w:t>
      </w:r>
      <w:proofErr w:type="spellEnd"/>
      <w:r w:rsidR="002F3A66" w:rsidRPr="002F3A66">
        <w:t>, 1). This exact same cross-hatch connection pattern repeats for the arrows between block "</w:t>
      </w:r>
      <w:proofErr w:type="spellStart"/>
      <w:r w:rsidR="002F3A66" w:rsidRPr="002F3A66">
        <w:t>i</w:t>
      </w:r>
      <w:proofErr w:type="spellEnd"/>
      <w:r w:rsidR="002F3A66" w:rsidRPr="002F3A66">
        <w:t>" and block "i+1". One large, open-headed arrow exits the diagram to the right. All lines, numbers, and text are clear and legible on a pure white background. The arrow intersections are distinct. The overall diagram is balanced and neat.</w:t>
      </w:r>
      <w:r w:rsidR="002F3A66" w:rsidRPr="002F3A66">
        <w:rPr>
          <w:i/>
          <w:iCs/>
        </w:rPr>
        <w:t xml:space="preserve"> </w:t>
      </w:r>
    </w:p>
    <w:p w14:paraId="10FB49A1" w14:textId="299C99A1" w:rsidR="00E40ED0" w:rsidRPr="00E40ED0" w:rsidRDefault="00E40ED0" w:rsidP="00B7689F">
      <w:pPr>
        <w:numPr>
          <w:ilvl w:val="1"/>
          <w:numId w:val="1"/>
        </w:numPr>
        <w:rPr>
          <w:rFonts w:hint="eastAsia"/>
        </w:rPr>
      </w:pPr>
      <w:r w:rsidRPr="00E40ED0">
        <w:rPr>
          <w:i/>
          <w:iCs/>
        </w:rPr>
        <w:t>Minimal Text:</w:t>
      </w:r>
      <w:r w:rsidRPr="00E40ED0">
        <w:t xml:space="preserve"> "Layer 2: Tensors Retention (Dynamic Programming)"</w:t>
      </w:r>
    </w:p>
    <w:p w14:paraId="13446F98" w14:textId="77777777" w:rsidR="00E40ED0" w:rsidRPr="00E40ED0" w:rsidRDefault="00E40ED0" w:rsidP="00E40ED0">
      <w:pPr>
        <w:numPr>
          <w:ilvl w:val="0"/>
          <w:numId w:val="1"/>
        </w:numPr>
        <w:rPr>
          <w:rFonts w:hint="eastAsia"/>
        </w:rPr>
      </w:pPr>
      <w:r w:rsidRPr="00E40ED0">
        <w:rPr>
          <w:b/>
          <w:bCs/>
        </w:rPr>
        <w:t>Third Module - Layer 3: Granularities (Decision Monotonicity):</w:t>
      </w:r>
    </w:p>
    <w:p w14:paraId="62DBB788" w14:textId="14537730" w:rsidR="00B94D64" w:rsidRPr="00B94D64" w:rsidRDefault="00E40ED0" w:rsidP="00B94D64">
      <w:pPr>
        <w:numPr>
          <w:ilvl w:val="1"/>
          <w:numId w:val="1"/>
        </w:numPr>
        <w:rPr>
          <w:rFonts w:hint="eastAsia"/>
        </w:rPr>
      </w:pPr>
      <w:r w:rsidRPr="00E40ED0">
        <w:rPr>
          <w:i/>
          <w:iCs/>
        </w:rPr>
        <w:t>Visuals:</w:t>
      </w:r>
      <w:r w:rsidRPr="00E40ED0">
        <w:t xml:space="preserve"> Connected below Layer 2.</w:t>
      </w:r>
      <w:r w:rsidR="00B94D64" w:rsidRPr="00B94D64">
        <w:rPr>
          <w:rFonts w:ascii="宋体" w:eastAsia="宋体" w:hAnsi="宋体" w:cs="宋体"/>
          <w:kern w:val="0"/>
          <w:sz w:val="24"/>
          <w14:ligatures w14:val="none"/>
        </w:rPr>
        <w:t xml:space="preserve"> </w:t>
      </w:r>
      <w:r w:rsidR="00B94D64" w:rsidRPr="00B94D64">
        <w:t>Here is the detailed description of the image and the prompt used to generate it.</w:t>
      </w:r>
    </w:p>
    <w:p w14:paraId="221CB4AD" w14:textId="77777777" w:rsidR="00B94D64" w:rsidRPr="00B94D64" w:rsidRDefault="00B94D64" w:rsidP="00B94D64">
      <w:pPr>
        <w:numPr>
          <w:ilvl w:val="1"/>
          <w:numId w:val="1"/>
        </w:numPr>
        <w:rPr>
          <w:rFonts w:hint="eastAsia"/>
          <w:b/>
          <w:bCs/>
        </w:rPr>
      </w:pPr>
      <w:r w:rsidRPr="00B94D64">
        <w:rPr>
          <w:b/>
          <w:bCs/>
        </w:rPr>
        <w:t>Image Description</w:t>
      </w:r>
    </w:p>
    <w:p w14:paraId="424C0346" w14:textId="77777777" w:rsidR="00B94D64" w:rsidRPr="00B94D64" w:rsidRDefault="00B94D64" w:rsidP="00B94D64">
      <w:pPr>
        <w:numPr>
          <w:ilvl w:val="1"/>
          <w:numId w:val="1"/>
        </w:numPr>
        <w:rPr>
          <w:rFonts w:hint="eastAsia"/>
        </w:rPr>
      </w:pPr>
      <w:r w:rsidRPr="00B94D64">
        <w:t>This image is a clean, professional 3x3 heatmap data visualization presented on a minimal light gray background.</w:t>
      </w:r>
    </w:p>
    <w:p w14:paraId="792677A2" w14:textId="77777777" w:rsidR="00B94D64" w:rsidRPr="00B94D64" w:rsidRDefault="00B94D64" w:rsidP="00B94D64">
      <w:pPr>
        <w:numPr>
          <w:ilvl w:val="1"/>
          <w:numId w:val="1"/>
        </w:numPr>
        <w:rPr>
          <w:rFonts w:hint="eastAsia"/>
        </w:rPr>
      </w:pPr>
      <w:r w:rsidRPr="00B94D64">
        <w:rPr>
          <w:b/>
          <w:bCs/>
        </w:rPr>
        <w:t>Title:</w:t>
      </w:r>
      <w:r w:rsidRPr="00B94D64">
        <w:t xml:space="preserve"> At the very top, the title </w:t>
      </w:r>
      <w:r w:rsidRPr="00B94D64">
        <w:rPr>
          <w:b/>
          <w:bCs/>
        </w:rPr>
        <w:t xml:space="preserve">"Monotonicity of </w:t>
      </w:r>
      <w:proofErr w:type="gramStart"/>
      <w:r w:rsidRPr="00B94D64">
        <w:rPr>
          <w:b/>
          <w:bCs/>
        </w:rPr>
        <w:t>Granularity[</w:t>
      </w:r>
      <w:proofErr w:type="gramEnd"/>
      <w:r w:rsidRPr="00B94D64">
        <w:rPr>
          <w:b/>
          <w:bCs/>
        </w:rPr>
        <w:t>2]"</w:t>
      </w:r>
      <w:r w:rsidRPr="00B94D64">
        <w:t xml:space="preserve"> is prominently displayed and perfectly centered.</w:t>
      </w:r>
    </w:p>
    <w:p w14:paraId="53C86E92" w14:textId="77777777" w:rsidR="00B94D64" w:rsidRPr="00B94D64" w:rsidRDefault="00B94D64" w:rsidP="00B94D64">
      <w:pPr>
        <w:numPr>
          <w:ilvl w:val="1"/>
          <w:numId w:val="1"/>
        </w:numPr>
        <w:rPr>
          <w:rFonts w:hint="eastAsia"/>
        </w:rPr>
      </w:pPr>
      <w:r w:rsidRPr="00B94D64">
        <w:rPr>
          <w:b/>
          <w:bCs/>
        </w:rPr>
        <w:lastRenderedPageBreak/>
        <w:t>Axes:</w:t>
      </w:r>
      <w:r w:rsidRPr="00B94D64">
        <w:t xml:space="preserve"> * The </w:t>
      </w:r>
      <w:r w:rsidRPr="00B94D64">
        <w:rPr>
          <w:b/>
          <w:bCs/>
        </w:rPr>
        <w:t>Y-axis</w:t>
      </w:r>
      <w:r w:rsidRPr="00B94D64">
        <w:t xml:space="preserve"> on the left is labeled </w:t>
      </w:r>
      <w:r w:rsidRPr="00B94D64">
        <w:rPr>
          <w:b/>
          <w:bCs/>
        </w:rPr>
        <w:t>"Granularity [0]"</w:t>
      </w:r>
      <w:r w:rsidRPr="00B94D64">
        <w:t xml:space="preserve">. The text is rotated 90 degrees counter-clockwise and is vertically centered along the height of the grid. Its tick marks from bottom to top are </w:t>
      </w:r>
      <w:r w:rsidRPr="00B94D64">
        <w:rPr>
          <w:b/>
          <w:bCs/>
        </w:rPr>
        <w:t>32, 64, and 128</w:t>
      </w:r>
      <w:r w:rsidRPr="00B94D64">
        <w:t>.</w:t>
      </w:r>
    </w:p>
    <w:p w14:paraId="4B46C675" w14:textId="77777777" w:rsidR="00B94D64" w:rsidRPr="00B94D64" w:rsidRDefault="00B94D64" w:rsidP="00B94D64">
      <w:pPr>
        <w:numPr>
          <w:ilvl w:val="1"/>
          <w:numId w:val="1"/>
        </w:numPr>
        <w:rPr>
          <w:rFonts w:hint="eastAsia"/>
        </w:rPr>
      </w:pPr>
      <w:r w:rsidRPr="00B94D64">
        <w:t xml:space="preserve">The </w:t>
      </w:r>
      <w:r w:rsidRPr="00B94D64">
        <w:rPr>
          <w:b/>
          <w:bCs/>
        </w:rPr>
        <w:t>X-axis</w:t>
      </w:r>
      <w:r w:rsidRPr="00B94D64">
        <w:t xml:space="preserve"> at the bottom is labeled </w:t>
      </w:r>
      <w:r w:rsidRPr="00B94D64">
        <w:rPr>
          <w:b/>
          <w:bCs/>
        </w:rPr>
        <w:t>"Granularity [1]"</w:t>
      </w:r>
      <w:r w:rsidRPr="00B94D64">
        <w:t xml:space="preserve">, which is horizontally centered beneath the entire grid. Its tick marks from left to right are </w:t>
      </w:r>
      <w:r w:rsidRPr="00B94D64">
        <w:rPr>
          <w:b/>
          <w:bCs/>
        </w:rPr>
        <w:t>32, 64, and 128</w:t>
      </w:r>
      <w:r w:rsidRPr="00B94D64">
        <w:t>.</w:t>
      </w:r>
    </w:p>
    <w:p w14:paraId="75385429" w14:textId="77777777" w:rsidR="00B94D64" w:rsidRPr="00B94D64" w:rsidRDefault="00B94D64" w:rsidP="00B94D64">
      <w:pPr>
        <w:numPr>
          <w:ilvl w:val="1"/>
          <w:numId w:val="1"/>
        </w:numPr>
        <w:rPr>
          <w:rFonts w:hint="eastAsia"/>
        </w:rPr>
      </w:pPr>
      <w:r w:rsidRPr="00B94D64">
        <w:rPr>
          <w:b/>
          <w:bCs/>
        </w:rPr>
        <w:t>Grid Content &amp; Color Scheme:</w:t>
      </w:r>
      <w:r w:rsidRPr="00B94D64">
        <w:t xml:space="preserve"> The 3x3 grid displays numeric values that are color-coded based on magnitude. The cells with the highest value (</w:t>
      </w:r>
      <w:r w:rsidRPr="00B94D64">
        <w:rPr>
          <w:b/>
          <w:bCs/>
        </w:rPr>
        <w:t>128</w:t>
      </w:r>
      <w:r w:rsidRPr="00B94D64">
        <w:t>) feature a dark blue background with elegant gold text. As the values decrease (</w:t>
      </w:r>
      <w:r w:rsidRPr="00B94D64">
        <w:rPr>
          <w:b/>
          <w:bCs/>
        </w:rPr>
        <w:t>64, 32, 16</w:t>
      </w:r>
      <w:r w:rsidRPr="00B94D64">
        <w:t>), the background colors transition monotonically to progressively lighter shades of teal and cyan, accompanied by black text.</w:t>
      </w:r>
    </w:p>
    <w:p w14:paraId="0D01AB0C" w14:textId="77777777" w:rsidR="00B94D64" w:rsidRPr="00B94D64" w:rsidRDefault="00B94D64" w:rsidP="00B94D64">
      <w:pPr>
        <w:numPr>
          <w:ilvl w:val="1"/>
          <w:numId w:val="1"/>
        </w:numPr>
        <w:rPr>
          <w:rFonts w:hint="eastAsia"/>
        </w:rPr>
      </w:pPr>
      <w:r w:rsidRPr="00B94D64">
        <w:rPr>
          <w:b/>
          <w:bCs/>
        </w:rPr>
        <w:t>Data Matrix Layout (from bottom-left to top-right):</w:t>
      </w:r>
    </w:p>
    <w:p w14:paraId="140BB278" w14:textId="77777777" w:rsidR="00B94D64" w:rsidRPr="00B94D64" w:rsidRDefault="00B94D64" w:rsidP="00B94D64">
      <w:pPr>
        <w:numPr>
          <w:ilvl w:val="1"/>
          <w:numId w:val="1"/>
        </w:numPr>
        <w:rPr>
          <w:rFonts w:hint="eastAsia"/>
        </w:rPr>
      </w:pPr>
      <w:r w:rsidRPr="00B94D64">
        <w:rPr>
          <w:b/>
          <w:bCs/>
        </w:rPr>
        <w:t>Bottom Row (Y=32):</w:t>
      </w:r>
      <w:r w:rsidRPr="00B94D64">
        <w:t xml:space="preserve"> Values are 128 (dark blue), 128 (dark blue), 64 (medium teal).</w:t>
      </w:r>
    </w:p>
    <w:p w14:paraId="1FCA6788" w14:textId="77777777" w:rsidR="00B94D64" w:rsidRPr="00B94D64" w:rsidRDefault="00B94D64" w:rsidP="00B94D64">
      <w:pPr>
        <w:numPr>
          <w:ilvl w:val="1"/>
          <w:numId w:val="1"/>
        </w:numPr>
        <w:rPr>
          <w:rFonts w:hint="eastAsia"/>
        </w:rPr>
      </w:pPr>
      <w:r w:rsidRPr="00B94D64">
        <w:rPr>
          <w:b/>
          <w:bCs/>
        </w:rPr>
        <w:t>Middle Row (Y=64):</w:t>
      </w:r>
      <w:r w:rsidRPr="00B94D64">
        <w:t xml:space="preserve"> Values are 128 (dark blue), 64 (medium teal), 32 (light teal).</w:t>
      </w:r>
    </w:p>
    <w:p w14:paraId="32F2A041" w14:textId="77777777" w:rsidR="00B94D64" w:rsidRPr="00B94D64" w:rsidRDefault="00B94D64" w:rsidP="00B94D64">
      <w:pPr>
        <w:numPr>
          <w:ilvl w:val="1"/>
          <w:numId w:val="1"/>
        </w:numPr>
        <w:rPr>
          <w:rFonts w:hint="eastAsia"/>
        </w:rPr>
      </w:pPr>
      <w:r w:rsidRPr="00B94D64">
        <w:rPr>
          <w:b/>
          <w:bCs/>
        </w:rPr>
        <w:t>Top Row (Y=128):</w:t>
      </w:r>
      <w:r w:rsidRPr="00B94D64">
        <w:t xml:space="preserve"> Values are 64 (medium teal), 32 (light teal), 16 (pale cyan/white).</w:t>
      </w:r>
    </w:p>
    <w:p w14:paraId="3686ACCA" w14:textId="20FA9AE8" w:rsidR="00E40ED0" w:rsidRPr="00E40ED0" w:rsidRDefault="00E40ED0" w:rsidP="00912094">
      <w:pPr>
        <w:numPr>
          <w:ilvl w:val="1"/>
          <w:numId w:val="1"/>
        </w:numPr>
        <w:rPr>
          <w:rFonts w:hint="eastAsia"/>
        </w:rPr>
      </w:pPr>
      <w:r w:rsidRPr="00E40ED0">
        <w:rPr>
          <w:i/>
          <w:iCs/>
        </w:rPr>
        <w:t>Minimal Text:</w:t>
      </w:r>
      <w:r w:rsidRPr="00E40ED0">
        <w:t xml:space="preserve"> "Layer 3: Granularities (Monotonic Search)"</w:t>
      </w:r>
    </w:p>
    <w:p w14:paraId="3A75762E" w14:textId="408EF61B" w:rsidR="00E40ED0" w:rsidRPr="00E40ED0" w:rsidRDefault="00E40ED0" w:rsidP="00E40ED0">
      <w:pPr>
        <w:numPr>
          <w:ilvl w:val="0"/>
          <w:numId w:val="1"/>
        </w:numPr>
        <w:rPr>
          <w:rFonts w:hint="eastAsia"/>
        </w:rPr>
      </w:pPr>
      <w:r>
        <w:rPr>
          <w:rFonts w:hint="eastAsia"/>
          <w:b/>
          <w:bCs/>
        </w:rPr>
        <w:t xml:space="preserve">Forth </w:t>
      </w:r>
      <w:r w:rsidRPr="00E40ED0">
        <w:rPr>
          <w:b/>
          <w:bCs/>
        </w:rPr>
        <w:t>Module - Layer 4</w:t>
      </w:r>
      <w:r>
        <w:rPr>
          <w:rFonts w:hint="eastAsia"/>
          <w:b/>
          <w:bCs/>
        </w:rPr>
        <w:t>：</w:t>
      </w:r>
      <w:r w:rsidRPr="00E40ED0">
        <w:rPr>
          <w:b/>
          <w:bCs/>
        </w:rPr>
        <w:t>Traversal Orders</w:t>
      </w:r>
    </w:p>
    <w:p w14:paraId="39825D11" w14:textId="262CE642" w:rsidR="00E40ED0" w:rsidRPr="00E40ED0" w:rsidRDefault="00E40ED0" w:rsidP="000F30BE">
      <w:pPr>
        <w:numPr>
          <w:ilvl w:val="1"/>
          <w:numId w:val="1"/>
        </w:numPr>
        <w:rPr>
          <w:rFonts w:hint="eastAsia"/>
        </w:rPr>
      </w:pPr>
      <w:r w:rsidRPr="00E40ED0">
        <w:rPr>
          <w:i/>
          <w:iCs/>
        </w:rPr>
        <w:t>Visuals:</w:t>
      </w:r>
      <w:r w:rsidRPr="00E40ED0">
        <w:t xml:space="preserve"> Connected below Layer 3. Show a grid matrix with two distinct, brightly colored arrows: one demonstrating a row-major zigzag pattern and the other a column-major zigzag pattern, representing the enumeration. These arrows follow </w:t>
      </w:r>
      <w:r>
        <w:rPr>
          <w:rFonts w:hint="eastAsia"/>
        </w:rPr>
        <w:t>the</w:t>
      </w:r>
      <w:r w:rsidRPr="00E40ED0">
        <w:t xml:space="preserve"> zigzag pattern, and their directions must be consistent.</w:t>
      </w:r>
      <w:r w:rsidRPr="00E40ED0">
        <w:rPr>
          <w:i/>
          <w:iCs/>
        </w:rPr>
        <w:t xml:space="preserve"> </w:t>
      </w:r>
    </w:p>
    <w:p w14:paraId="2046A3BF" w14:textId="155002A6" w:rsidR="00E40ED0" w:rsidRPr="00E40ED0" w:rsidRDefault="00E40ED0" w:rsidP="000F30BE">
      <w:pPr>
        <w:numPr>
          <w:ilvl w:val="1"/>
          <w:numId w:val="1"/>
        </w:numPr>
        <w:rPr>
          <w:rFonts w:hint="eastAsia"/>
        </w:rPr>
      </w:pPr>
      <w:r w:rsidRPr="00E40ED0">
        <w:rPr>
          <w:i/>
          <w:iCs/>
        </w:rPr>
        <w:t>Minimal Text:</w:t>
      </w:r>
      <w:r w:rsidRPr="00E40ED0">
        <w:t xml:space="preserve"> "Layer 4: Traversal Orders (</w:t>
      </w:r>
      <w:r>
        <w:rPr>
          <w:rFonts w:hint="eastAsia"/>
        </w:rPr>
        <w:t>Enumerate</w:t>
      </w:r>
      <w:r w:rsidRPr="00E40ED0">
        <w:t>) "</w:t>
      </w:r>
    </w:p>
    <w:p w14:paraId="679F8DA8" w14:textId="710353B0" w:rsidR="00E40ED0" w:rsidRPr="00365A12" w:rsidRDefault="00E40ED0" w:rsidP="00E40ED0">
      <w:pPr>
        <w:numPr>
          <w:ilvl w:val="0"/>
          <w:numId w:val="1"/>
        </w:numPr>
        <w:rPr>
          <w:rFonts w:hint="eastAsia"/>
        </w:rPr>
      </w:pPr>
      <w:r w:rsidRPr="00E40ED0">
        <w:rPr>
          <w:b/>
          <w:bCs/>
        </w:rPr>
        <w:t xml:space="preserve">Bottom Module </w:t>
      </w:r>
      <w:r>
        <w:rPr>
          <w:b/>
          <w:bCs/>
        </w:rPr>
        <w:t>–</w:t>
      </w:r>
      <w:r>
        <w:rPr>
          <w:rFonts w:hint="eastAsia"/>
          <w:b/>
          <w:bCs/>
        </w:rPr>
        <w:t xml:space="preserve"> </w:t>
      </w:r>
      <w:r w:rsidRPr="00E40ED0">
        <w:rPr>
          <w:b/>
          <w:bCs/>
        </w:rPr>
        <w:t>Evaluator</w:t>
      </w:r>
      <w:r>
        <w:rPr>
          <w:rFonts w:hint="eastAsia"/>
          <w:b/>
          <w:bCs/>
        </w:rPr>
        <w:t xml:space="preserve">: </w:t>
      </w:r>
      <w:r w:rsidRPr="00E40ED0">
        <w:rPr>
          <w:b/>
          <w:bCs/>
        </w:rPr>
        <w:t>Latency</w:t>
      </w:r>
      <w:r>
        <w:rPr>
          <w:rFonts w:hint="eastAsia"/>
          <w:b/>
          <w:bCs/>
        </w:rPr>
        <w:t xml:space="preserve"> </w:t>
      </w:r>
    </w:p>
    <w:p w14:paraId="77DB13F5" w14:textId="7A839C73" w:rsidR="00B94D64" w:rsidRPr="00AE097A" w:rsidRDefault="00AE097A" w:rsidP="00B94D64">
      <w:pPr>
        <w:pStyle w:val="a9"/>
        <w:widowControl/>
        <w:numPr>
          <w:ilvl w:val="0"/>
          <w:numId w:val="1"/>
        </w:numPr>
        <w:spacing w:before="100" w:beforeAutospacing="1" w:after="100" w:afterAutospacing="1" w:line="240" w:lineRule="auto"/>
        <w:rPr>
          <w:rFonts w:ascii="宋体" w:eastAsia="宋体" w:hAnsi="宋体" w:cs="宋体" w:hint="eastAsia"/>
          <w:kern w:val="0"/>
          <w:sz w:val="24"/>
          <w14:ligatures w14:val="none"/>
        </w:rPr>
      </w:pPr>
      <w:r w:rsidRPr="00AE097A">
        <w:rPr>
          <w:rFonts w:ascii="宋体" w:eastAsia="宋体" w:hAnsi="宋体" w:cs="宋体"/>
          <w:kern w:val="0"/>
          <w:sz w:val="24"/>
          <w14:ligatures w14:val="none"/>
        </w:rPr>
        <w:t xml:space="preserve">Visuals: </w:t>
      </w:r>
      <w:r w:rsidR="00B94D64" w:rsidRPr="00E40ED0">
        <w:t xml:space="preserve">Connected below Layer </w:t>
      </w:r>
      <w:r w:rsidR="00B94D64">
        <w:rPr>
          <w:rFonts w:hint="eastAsia"/>
        </w:rPr>
        <w:t>4</w:t>
      </w:r>
      <w:r w:rsidR="00B94D64" w:rsidRPr="00E40ED0">
        <w:t>.</w:t>
      </w:r>
      <w:r w:rsidR="00B94D64">
        <w:rPr>
          <w:rFonts w:hint="eastAsia"/>
        </w:rPr>
        <w:t xml:space="preserve">  </w:t>
      </w:r>
      <w:r w:rsidR="00B94D64" w:rsidRPr="00AE097A">
        <w:rPr>
          <w:rFonts w:ascii="宋体" w:eastAsia="宋体" w:hAnsi="宋体" w:cs="宋体"/>
          <w:kern w:val="0"/>
          <w:sz w:val="24"/>
          <w14:ligatures w14:val="none"/>
        </w:rPr>
        <w:t xml:space="preserve">A clean, minimalist diagram of a computational Directed Acyclic Graph (DAG) on a pure white background, illustrating a multi-step tensor calculation with </w:t>
      </w:r>
      <w:r w:rsidR="00B94D64" w:rsidRPr="00AE097A">
        <w:rPr>
          <w:rFonts w:ascii="宋体" w:eastAsia="宋体" w:hAnsi="宋体" w:cs="宋体"/>
          <w:kern w:val="0"/>
          <w:sz w:val="24"/>
          <w14:ligatures w14:val="none"/>
        </w:rPr>
        <w:lastRenderedPageBreak/>
        <w:t>forward and backward paths. The style is minimalist and uses clear color-coding.</w:t>
      </w:r>
    </w:p>
    <w:p w14:paraId="2A9986AE" w14:textId="77777777" w:rsidR="00B94D64" w:rsidRPr="00AE097A" w:rsidRDefault="00B94D64" w:rsidP="00B94D64">
      <w:pPr>
        <w:pStyle w:val="a9"/>
        <w:widowControl/>
        <w:numPr>
          <w:ilvl w:val="0"/>
          <w:numId w:val="1"/>
        </w:numPr>
        <w:spacing w:before="100" w:beforeAutospacing="1" w:after="100" w:afterAutospacing="1" w:line="240" w:lineRule="auto"/>
        <w:rPr>
          <w:rFonts w:ascii="宋体" w:eastAsia="宋体" w:hAnsi="宋体" w:cs="宋体" w:hint="eastAsia"/>
          <w:kern w:val="0"/>
          <w:sz w:val="24"/>
          <w14:ligatures w14:val="none"/>
        </w:rPr>
      </w:pPr>
      <w:r w:rsidRPr="00AE097A">
        <w:rPr>
          <w:rFonts w:ascii="宋体" w:eastAsia="宋体" w:hAnsi="宋体" w:cs="宋体"/>
          <w:kern w:val="0"/>
          <w:sz w:val="24"/>
          <w14:ligatures w14:val="none"/>
        </w:rPr>
        <w:t>Nodes:</w:t>
      </w:r>
    </w:p>
    <w:p w14:paraId="5ED0919C" w14:textId="77777777" w:rsidR="00B94D64" w:rsidRPr="00AE097A" w:rsidRDefault="00B94D64" w:rsidP="00B94D64">
      <w:pPr>
        <w:pStyle w:val="a9"/>
        <w:widowControl/>
        <w:numPr>
          <w:ilvl w:val="0"/>
          <w:numId w:val="1"/>
        </w:numPr>
        <w:spacing w:before="100" w:beforeAutospacing="1" w:after="100" w:afterAutospacing="1" w:line="240" w:lineRule="auto"/>
        <w:rPr>
          <w:rFonts w:ascii="宋体" w:eastAsia="宋体" w:hAnsi="宋体" w:cs="宋体" w:hint="eastAsia"/>
          <w:kern w:val="0"/>
          <w:sz w:val="24"/>
          <w14:ligatures w14:val="none"/>
        </w:rPr>
      </w:pPr>
      <w:r w:rsidRPr="00AE097A">
        <w:rPr>
          <w:rFonts w:ascii="宋体" w:eastAsia="宋体" w:hAnsi="宋体" w:cs="宋体"/>
          <w:kern w:val="0"/>
          <w:sz w:val="24"/>
          <w14:ligatures w14:val="none"/>
        </w:rPr>
        <w:t>Circles (labeled T0, T1, T2, T3, T4) represent data Tensors.</w:t>
      </w:r>
    </w:p>
    <w:p w14:paraId="026EE3B2" w14:textId="77777777" w:rsidR="00B94D64" w:rsidRPr="00AE097A" w:rsidRDefault="00B94D64" w:rsidP="00B94D64">
      <w:pPr>
        <w:pStyle w:val="a9"/>
        <w:widowControl/>
        <w:numPr>
          <w:ilvl w:val="0"/>
          <w:numId w:val="1"/>
        </w:numPr>
        <w:spacing w:before="100" w:beforeAutospacing="1" w:after="100" w:afterAutospacing="1" w:line="240" w:lineRule="auto"/>
        <w:rPr>
          <w:rFonts w:ascii="宋体" w:eastAsia="宋体" w:hAnsi="宋体" w:cs="宋体" w:hint="eastAsia"/>
          <w:kern w:val="0"/>
          <w:sz w:val="24"/>
          <w14:ligatures w14:val="none"/>
        </w:rPr>
      </w:pPr>
      <w:r w:rsidRPr="00AE097A">
        <w:rPr>
          <w:rFonts w:ascii="宋体" w:eastAsia="宋体" w:hAnsi="宋体" w:cs="宋体"/>
          <w:kern w:val="0"/>
          <w:sz w:val="24"/>
          <w14:ligatures w14:val="none"/>
        </w:rPr>
        <w:t>Rounded Rectangles (labeled op0, op1) represent calculation Operators.</w:t>
      </w:r>
    </w:p>
    <w:p w14:paraId="7321C4DB" w14:textId="77777777" w:rsidR="00B94D64" w:rsidRPr="00AE097A" w:rsidRDefault="00B94D64" w:rsidP="00B94D64">
      <w:pPr>
        <w:pStyle w:val="a9"/>
        <w:widowControl/>
        <w:numPr>
          <w:ilvl w:val="0"/>
          <w:numId w:val="1"/>
        </w:numPr>
        <w:spacing w:before="100" w:beforeAutospacing="1" w:after="100" w:afterAutospacing="1" w:line="240" w:lineRule="auto"/>
        <w:rPr>
          <w:rFonts w:ascii="宋体" w:eastAsia="宋体" w:hAnsi="宋体" w:cs="宋体" w:hint="eastAsia"/>
          <w:kern w:val="0"/>
          <w:sz w:val="24"/>
          <w14:ligatures w14:val="none"/>
        </w:rPr>
      </w:pPr>
      <w:r w:rsidRPr="00AE097A">
        <w:rPr>
          <w:rFonts w:ascii="宋体" w:eastAsia="宋体" w:hAnsi="宋体" w:cs="宋体"/>
          <w:kern w:val="0"/>
          <w:sz w:val="24"/>
          <w14:ligatures w14:val="none"/>
        </w:rPr>
        <w:t>Forward Paths (Solid Blue Arrows):</w:t>
      </w:r>
    </w:p>
    <w:p w14:paraId="7189F14E" w14:textId="77777777" w:rsidR="00B94D64" w:rsidRPr="00AE097A" w:rsidRDefault="00B94D64" w:rsidP="00B94D64">
      <w:pPr>
        <w:pStyle w:val="a9"/>
        <w:widowControl/>
        <w:numPr>
          <w:ilvl w:val="0"/>
          <w:numId w:val="1"/>
        </w:numPr>
        <w:spacing w:before="100" w:beforeAutospacing="1" w:after="100" w:afterAutospacing="1" w:line="240" w:lineRule="auto"/>
        <w:rPr>
          <w:rFonts w:ascii="宋体" w:eastAsia="宋体" w:hAnsi="宋体" w:cs="宋体" w:hint="eastAsia"/>
          <w:kern w:val="0"/>
          <w:sz w:val="24"/>
          <w14:ligatures w14:val="none"/>
        </w:rPr>
      </w:pPr>
      <w:r w:rsidRPr="00AE097A">
        <w:rPr>
          <w:rFonts w:ascii="宋体" w:eastAsia="宋体" w:hAnsi="宋体" w:cs="宋体"/>
          <w:kern w:val="0"/>
          <w:sz w:val="24"/>
          <w14:ligatures w14:val="none"/>
        </w:rPr>
        <w:t xml:space="preserve">o   From T0 and T1, blue arrows point to op0. o   </w:t>
      </w:r>
      <w:proofErr w:type="gramStart"/>
      <w:r w:rsidRPr="00AE097A">
        <w:rPr>
          <w:rFonts w:ascii="宋体" w:eastAsia="宋体" w:hAnsi="宋体" w:cs="宋体"/>
          <w:kern w:val="0"/>
          <w:sz w:val="24"/>
          <w14:ligatures w14:val="none"/>
        </w:rPr>
        <w:t>From</w:t>
      </w:r>
      <w:proofErr w:type="gramEnd"/>
      <w:r w:rsidRPr="00AE097A">
        <w:rPr>
          <w:rFonts w:ascii="宋体" w:eastAsia="宋体" w:hAnsi="宋体" w:cs="宋体"/>
          <w:kern w:val="0"/>
          <w:sz w:val="24"/>
          <w14:ligatures w14:val="none"/>
        </w:rPr>
        <w:t xml:space="preserve"> op0, a blue arrow points to T2. o   From T2 and T3, blue arrows point to op1. o   </w:t>
      </w:r>
      <w:proofErr w:type="gramStart"/>
      <w:r w:rsidRPr="00AE097A">
        <w:rPr>
          <w:rFonts w:ascii="宋体" w:eastAsia="宋体" w:hAnsi="宋体" w:cs="宋体"/>
          <w:kern w:val="0"/>
          <w:sz w:val="24"/>
          <w14:ligatures w14:val="none"/>
        </w:rPr>
        <w:t>From</w:t>
      </w:r>
      <w:proofErr w:type="gramEnd"/>
      <w:r w:rsidRPr="00AE097A">
        <w:rPr>
          <w:rFonts w:ascii="宋体" w:eastAsia="宋体" w:hAnsi="宋体" w:cs="宋体"/>
          <w:kern w:val="0"/>
          <w:sz w:val="24"/>
          <w14:ligatures w14:val="none"/>
        </w:rPr>
        <w:t xml:space="preserve"> op1, a blue arrow points to T4.</w:t>
      </w:r>
    </w:p>
    <w:p w14:paraId="53FB35E5" w14:textId="77777777" w:rsidR="00B94D64" w:rsidRPr="00AE097A" w:rsidRDefault="00B94D64" w:rsidP="00B94D64">
      <w:pPr>
        <w:pStyle w:val="a9"/>
        <w:widowControl/>
        <w:numPr>
          <w:ilvl w:val="0"/>
          <w:numId w:val="1"/>
        </w:numPr>
        <w:spacing w:before="100" w:beforeAutospacing="1" w:after="100" w:afterAutospacing="1" w:line="240" w:lineRule="auto"/>
        <w:rPr>
          <w:rFonts w:ascii="宋体" w:eastAsia="宋体" w:hAnsi="宋体" w:cs="宋体" w:hint="eastAsia"/>
          <w:kern w:val="0"/>
          <w:sz w:val="24"/>
          <w14:ligatures w14:val="none"/>
        </w:rPr>
      </w:pPr>
      <w:r w:rsidRPr="00AE097A">
        <w:rPr>
          <w:rFonts w:ascii="宋体" w:eastAsia="宋体" w:hAnsi="宋体" w:cs="宋体"/>
          <w:kern w:val="0"/>
          <w:sz w:val="24"/>
          <w14:ligatures w14:val="none"/>
        </w:rPr>
        <w:t>Backward Paths (Dashed Red Arrows):</w:t>
      </w:r>
    </w:p>
    <w:p w14:paraId="674F7612" w14:textId="77777777" w:rsidR="00B94D64" w:rsidRPr="00AE097A" w:rsidRDefault="00B94D64" w:rsidP="00B94D64">
      <w:pPr>
        <w:pStyle w:val="a9"/>
        <w:widowControl/>
        <w:numPr>
          <w:ilvl w:val="0"/>
          <w:numId w:val="1"/>
        </w:numPr>
        <w:spacing w:before="100" w:beforeAutospacing="1" w:after="100" w:afterAutospacing="1" w:line="240" w:lineRule="auto"/>
        <w:rPr>
          <w:rFonts w:ascii="宋体" w:eastAsia="宋体" w:hAnsi="宋体" w:cs="宋体" w:hint="eastAsia"/>
          <w:kern w:val="0"/>
          <w:sz w:val="24"/>
          <w14:ligatures w14:val="none"/>
        </w:rPr>
      </w:pPr>
      <w:r w:rsidRPr="00AE097A">
        <w:rPr>
          <w:rFonts w:ascii="宋体" w:eastAsia="宋体" w:hAnsi="宋体" w:cs="宋体"/>
          <w:kern w:val="0"/>
          <w:sz w:val="24"/>
          <w14:ligatures w14:val="none"/>
        </w:rPr>
        <w:t xml:space="preserve">o   From T4, a dashed red arrow points to op1. o   </w:t>
      </w:r>
      <w:proofErr w:type="gramStart"/>
      <w:r w:rsidRPr="00AE097A">
        <w:rPr>
          <w:rFonts w:ascii="宋体" w:eastAsia="宋体" w:hAnsi="宋体" w:cs="宋体"/>
          <w:kern w:val="0"/>
          <w:sz w:val="24"/>
          <w14:ligatures w14:val="none"/>
        </w:rPr>
        <w:t>From</w:t>
      </w:r>
      <w:proofErr w:type="gramEnd"/>
      <w:r w:rsidRPr="00AE097A">
        <w:rPr>
          <w:rFonts w:ascii="宋体" w:eastAsia="宋体" w:hAnsi="宋体" w:cs="宋体"/>
          <w:kern w:val="0"/>
          <w:sz w:val="24"/>
          <w14:ligatures w14:val="none"/>
        </w:rPr>
        <w:t xml:space="preserve"> op1, dashed red arrows fork and point back to T2 and T3. o   From T2, a dashed red arrow points to op0. o   </w:t>
      </w:r>
      <w:proofErr w:type="gramStart"/>
      <w:r w:rsidRPr="00AE097A">
        <w:rPr>
          <w:rFonts w:ascii="宋体" w:eastAsia="宋体" w:hAnsi="宋体" w:cs="宋体"/>
          <w:kern w:val="0"/>
          <w:sz w:val="24"/>
          <w14:ligatures w14:val="none"/>
        </w:rPr>
        <w:t>From</w:t>
      </w:r>
      <w:proofErr w:type="gramEnd"/>
      <w:r w:rsidRPr="00AE097A">
        <w:rPr>
          <w:rFonts w:ascii="宋体" w:eastAsia="宋体" w:hAnsi="宋体" w:cs="宋体"/>
          <w:kern w:val="0"/>
          <w:sz w:val="24"/>
          <w14:ligatures w14:val="none"/>
        </w:rPr>
        <w:t xml:space="preserve"> op0, dashed red arrows fork and point back to T0 and T1.</w:t>
      </w:r>
    </w:p>
    <w:p w14:paraId="6E716F3F" w14:textId="77777777" w:rsidR="00B94D64" w:rsidRPr="00AE097A" w:rsidRDefault="00B94D64" w:rsidP="00B94D64">
      <w:pPr>
        <w:pStyle w:val="a9"/>
        <w:widowControl/>
        <w:numPr>
          <w:ilvl w:val="0"/>
          <w:numId w:val="1"/>
        </w:numPr>
        <w:spacing w:before="100" w:beforeAutospacing="1" w:after="100" w:afterAutospacing="1" w:line="240" w:lineRule="auto"/>
        <w:rPr>
          <w:rFonts w:ascii="宋体" w:eastAsia="宋体" w:hAnsi="宋体" w:cs="宋体" w:hint="eastAsia"/>
          <w:kern w:val="0"/>
          <w:sz w:val="24"/>
          <w14:ligatures w14:val="none"/>
        </w:rPr>
      </w:pPr>
      <w:r w:rsidRPr="00AE097A">
        <w:rPr>
          <w:rFonts w:ascii="宋体" w:eastAsia="宋体" w:hAnsi="宋体" w:cs="宋体"/>
          <w:kern w:val="0"/>
          <w:sz w:val="24"/>
          <w14:ligatures w14:val="none"/>
        </w:rPr>
        <w:t>Layout: T0 and T1 are on the far left. op0 is to their right. T2 is to the right and slightly below op0. T3 is to the left and below T2. op1 is to the right of T2 and T3. T4 is on the far right. Ensure all labels are perfectly legible and centered within their nodes. The diagram should be neat and well-spaced.</w:t>
      </w:r>
    </w:p>
    <w:p w14:paraId="362BD694" w14:textId="10C5B482" w:rsidR="00B94D64" w:rsidRDefault="00B94D64" w:rsidP="00B94D64">
      <w:pPr>
        <w:pStyle w:val="a9"/>
        <w:widowControl/>
        <w:numPr>
          <w:ilvl w:val="0"/>
          <w:numId w:val="1"/>
        </w:numPr>
        <w:spacing w:before="100" w:beforeAutospacing="1" w:after="100" w:afterAutospacing="1" w:line="240" w:lineRule="auto"/>
        <w:rPr>
          <w:rFonts w:hint="eastAsia"/>
        </w:rPr>
      </w:pPr>
    </w:p>
    <w:p w14:paraId="7C7CA36A" w14:textId="0A72A163" w:rsidR="00E40ED0" w:rsidRPr="00E40ED0" w:rsidRDefault="00E40ED0" w:rsidP="00B94D64">
      <w:pPr>
        <w:pStyle w:val="a9"/>
        <w:widowControl/>
        <w:numPr>
          <w:ilvl w:val="0"/>
          <w:numId w:val="1"/>
        </w:numPr>
        <w:spacing w:before="100" w:beforeAutospacing="1" w:after="100" w:afterAutospacing="1" w:line="240" w:lineRule="auto"/>
        <w:rPr>
          <w:rFonts w:hint="eastAsia"/>
        </w:rPr>
      </w:pPr>
      <w:r w:rsidRPr="00E40ED0">
        <w:rPr>
          <w:i/>
          <w:iCs/>
        </w:rPr>
        <w:t>Minimal Text:</w:t>
      </w:r>
      <w:r w:rsidRPr="00E40ED0">
        <w:t xml:space="preserve"> "</w:t>
      </w:r>
      <w:r w:rsidRPr="003F5356">
        <w:rPr>
          <w:b/>
          <w:bCs/>
        </w:rPr>
        <w:t xml:space="preserve"> </w:t>
      </w:r>
      <w:r w:rsidRPr="00E40ED0">
        <w:rPr>
          <w:b/>
          <w:bCs/>
        </w:rPr>
        <w:t>Evaluator</w:t>
      </w:r>
      <w:r w:rsidRPr="00E40ED0">
        <w:t>: Latency"</w:t>
      </w:r>
    </w:p>
    <w:p w14:paraId="54961703" w14:textId="77777777" w:rsidR="00E40ED0" w:rsidRPr="00E40ED0" w:rsidRDefault="00E40ED0" w:rsidP="00E40ED0">
      <w:pPr>
        <w:rPr>
          <w:rFonts w:hint="eastAsia"/>
        </w:rPr>
      </w:pPr>
      <w:r w:rsidRPr="00E40ED0">
        <w:rPr>
          <w:b/>
          <w:bCs/>
        </w:rPr>
        <w:t>[Connections &amp; Data Flow]</w:t>
      </w:r>
    </w:p>
    <w:p w14:paraId="1CFDB186" w14:textId="77777777" w:rsidR="00E40ED0" w:rsidRPr="00E40ED0" w:rsidRDefault="00E40ED0" w:rsidP="00E40ED0">
      <w:pPr>
        <w:rPr>
          <w:rFonts w:hint="eastAsia"/>
        </w:rPr>
      </w:pPr>
      <w:r w:rsidRPr="00E40ED0">
        <w:t>Connect the four modules sequentially from top to bottom using thick, clean, slate-gray arrows to show the parameter dependency (each layer requires the preceding one to be fixed). From the final "Latency" block at the bottom, draw a distinct, dashed orange feedback arrow looping all the way back up to the "Layer 1: Subgraphs" module. This feedback loop represents the total calculated subgraph latency driving the outer Simulated Annealing objective function.</w:t>
      </w:r>
    </w:p>
    <w:p w14:paraId="4B901694" w14:textId="77777777" w:rsidR="00E40ED0" w:rsidRPr="00E40ED0" w:rsidRDefault="00E40ED0" w:rsidP="00E40ED0">
      <w:pPr>
        <w:rPr>
          <w:rFonts w:hint="eastAsia"/>
        </w:rPr>
      </w:pPr>
      <w:r w:rsidRPr="00E40ED0">
        <w:rPr>
          <w:b/>
          <w:bCs/>
        </w:rPr>
        <w:t>[Typography &amp; Polish]</w:t>
      </w:r>
    </w:p>
    <w:p w14:paraId="71BF0EBE" w14:textId="77777777" w:rsidR="00E40ED0" w:rsidRPr="00E40ED0" w:rsidRDefault="00E40ED0" w:rsidP="00E40ED0">
      <w:pPr>
        <w:rPr>
          <w:rFonts w:hint="eastAsia"/>
        </w:rPr>
      </w:pPr>
      <w:r w:rsidRPr="00E40ED0">
        <w:t>Ensure all text is completely legible, strictly using a modern sans-serif font like Helvetica or Roboto. Do not use random generic text (lorem ipsum); only use the exact technical terms specified above. Ensure perfect alignment of all boxes, maintaining equal padding and margins to convey a strict, rigorous mathematical approach. The overall impression must be one of algorithmic elegance and modular efficiency.</w:t>
      </w:r>
    </w:p>
    <w:p w14:paraId="025C0282" w14:textId="77777777" w:rsidR="009319C0" w:rsidRPr="00E40ED0" w:rsidRDefault="009319C0">
      <w:pPr>
        <w:rPr>
          <w:rFonts w:hint="eastAsia"/>
        </w:rPr>
      </w:pPr>
    </w:p>
    <w:sectPr w:rsidR="009319C0" w:rsidRPr="00E40ED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4E4C"/>
    <w:multiLevelType w:val="multilevel"/>
    <w:tmpl w:val="F334C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7D3146"/>
    <w:multiLevelType w:val="multilevel"/>
    <w:tmpl w:val="0A7A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C2146A"/>
    <w:multiLevelType w:val="multilevel"/>
    <w:tmpl w:val="B0CA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94052A"/>
    <w:multiLevelType w:val="multilevel"/>
    <w:tmpl w:val="A7307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DD4A53"/>
    <w:multiLevelType w:val="multilevel"/>
    <w:tmpl w:val="47EA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126280">
    <w:abstractNumId w:val="0"/>
  </w:num>
  <w:num w:numId="2" w16cid:durableId="1236742009">
    <w:abstractNumId w:val="2"/>
  </w:num>
  <w:num w:numId="3" w16cid:durableId="543450897">
    <w:abstractNumId w:val="4"/>
  </w:num>
  <w:num w:numId="4" w16cid:durableId="129447205">
    <w:abstractNumId w:val="1"/>
  </w:num>
  <w:num w:numId="5" w16cid:durableId="20064695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ED0"/>
    <w:rsid w:val="000F4C03"/>
    <w:rsid w:val="002F3A66"/>
    <w:rsid w:val="00365A12"/>
    <w:rsid w:val="003F5356"/>
    <w:rsid w:val="00417021"/>
    <w:rsid w:val="004A6FFB"/>
    <w:rsid w:val="00587752"/>
    <w:rsid w:val="006645AD"/>
    <w:rsid w:val="00753E3B"/>
    <w:rsid w:val="008953B5"/>
    <w:rsid w:val="009319C0"/>
    <w:rsid w:val="00AE097A"/>
    <w:rsid w:val="00B94D64"/>
    <w:rsid w:val="00BA2EE5"/>
    <w:rsid w:val="00C220C5"/>
    <w:rsid w:val="00E40E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10C4E"/>
  <w15:chartTrackingRefBased/>
  <w15:docId w15:val="{9BE40EFF-6067-4B27-96C6-CA8FC45DD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40ED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40ED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40ED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40ED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40ED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40ED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40ED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40ED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40ED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40ED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40ED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40ED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40ED0"/>
    <w:rPr>
      <w:rFonts w:cstheme="majorBidi"/>
      <w:color w:val="0F4761" w:themeColor="accent1" w:themeShade="BF"/>
      <w:sz w:val="28"/>
      <w:szCs w:val="28"/>
    </w:rPr>
  </w:style>
  <w:style w:type="character" w:customStyle="1" w:styleId="50">
    <w:name w:val="标题 5 字符"/>
    <w:basedOn w:val="a0"/>
    <w:link w:val="5"/>
    <w:uiPriority w:val="9"/>
    <w:semiHidden/>
    <w:rsid w:val="00E40ED0"/>
    <w:rPr>
      <w:rFonts w:cstheme="majorBidi"/>
      <w:color w:val="0F4761" w:themeColor="accent1" w:themeShade="BF"/>
      <w:sz w:val="24"/>
    </w:rPr>
  </w:style>
  <w:style w:type="character" w:customStyle="1" w:styleId="60">
    <w:name w:val="标题 6 字符"/>
    <w:basedOn w:val="a0"/>
    <w:link w:val="6"/>
    <w:uiPriority w:val="9"/>
    <w:semiHidden/>
    <w:rsid w:val="00E40ED0"/>
    <w:rPr>
      <w:rFonts w:cstheme="majorBidi"/>
      <w:b/>
      <w:bCs/>
      <w:color w:val="0F4761" w:themeColor="accent1" w:themeShade="BF"/>
    </w:rPr>
  </w:style>
  <w:style w:type="character" w:customStyle="1" w:styleId="70">
    <w:name w:val="标题 7 字符"/>
    <w:basedOn w:val="a0"/>
    <w:link w:val="7"/>
    <w:uiPriority w:val="9"/>
    <w:semiHidden/>
    <w:rsid w:val="00E40ED0"/>
    <w:rPr>
      <w:rFonts w:cstheme="majorBidi"/>
      <w:b/>
      <w:bCs/>
      <w:color w:val="595959" w:themeColor="text1" w:themeTint="A6"/>
    </w:rPr>
  </w:style>
  <w:style w:type="character" w:customStyle="1" w:styleId="80">
    <w:name w:val="标题 8 字符"/>
    <w:basedOn w:val="a0"/>
    <w:link w:val="8"/>
    <w:uiPriority w:val="9"/>
    <w:semiHidden/>
    <w:rsid w:val="00E40ED0"/>
    <w:rPr>
      <w:rFonts w:cstheme="majorBidi"/>
      <w:color w:val="595959" w:themeColor="text1" w:themeTint="A6"/>
    </w:rPr>
  </w:style>
  <w:style w:type="character" w:customStyle="1" w:styleId="90">
    <w:name w:val="标题 9 字符"/>
    <w:basedOn w:val="a0"/>
    <w:link w:val="9"/>
    <w:uiPriority w:val="9"/>
    <w:semiHidden/>
    <w:rsid w:val="00E40ED0"/>
    <w:rPr>
      <w:rFonts w:eastAsiaTheme="majorEastAsia" w:cstheme="majorBidi"/>
      <w:color w:val="595959" w:themeColor="text1" w:themeTint="A6"/>
    </w:rPr>
  </w:style>
  <w:style w:type="paragraph" w:styleId="a3">
    <w:name w:val="Title"/>
    <w:basedOn w:val="a"/>
    <w:next w:val="a"/>
    <w:link w:val="a4"/>
    <w:uiPriority w:val="10"/>
    <w:qFormat/>
    <w:rsid w:val="00E40ED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40E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0ED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40ED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0ED0"/>
    <w:pPr>
      <w:spacing w:before="160"/>
      <w:jc w:val="center"/>
    </w:pPr>
    <w:rPr>
      <w:i/>
      <w:iCs/>
      <w:color w:val="404040" w:themeColor="text1" w:themeTint="BF"/>
    </w:rPr>
  </w:style>
  <w:style w:type="character" w:customStyle="1" w:styleId="a8">
    <w:name w:val="引用 字符"/>
    <w:basedOn w:val="a0"/>
    <w:link w:val="a7"/>
    <w:uiPriority w:val="29"/>
    <w:rsid w:val="00E40ED0"/>
    <w:rPr>
      <w:i/>
      <w:iCs/>
      <w:color w:val="404040" w:themeColor="text1" w:themeTint="BF"/>
    </w:rPr>
  </w:style>
  <w:style w:type="paragraph" w:styleId="a9">
    <w:name w:val="List Paragraph"/>
    <w:basedOn w:val="a"/>
    <w:uiPriority w:val="34"/>
    <w:qFormat/>
    <w:rsid w:val="00E40ED0"/>
    <w:pPr>
      <w:ind w:left="720"/>
      <w:contextualSpacing/>
    </w:pPr>
  </w:style>
  <w:style w:type="character" w:styleId="aa">
    <w:name w:val="Intense Emphasis"/>
    <w:basedOn w:val="a0"/>
    <w:uiPriority w:val="21"/>
    <w:qFormat/>
    <w:rsid w:val="00E40ED0"/>
    <w:rPr>
      <w:i/>
      <w:iCs/>
      <w:color w:val="0F4761" w:themeColor="accent1" w:themeShade="BF"/>
    </w:rPr>
  </w:style>
  <w:style w:type="paragraph" w:styleId="ab">
    <w:name w:val="Intense Quote"/>
    <w:basedOn w:val="a"/>
    <w:next w:val="a"/>
    <w:link w:val="ac"/>
    <w:uiPriority w:val="30"/>
    <w:qFormat/>
    <w:rsid w:val="00E40E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40ED0"/>
    <w:rPr>
      <w:i/>
      <w:iCs/>
      <w:color w:val="0F4761" w:themeColor="accent1" w:themeShade="BF"/>
    </w:rPr>
  </w:style>
  <w:style w:type="character" w:styleId="ad">
    <w:name w:val="Intense Reference"/>
    <w:basedOn w:val="a0"/>
    <w:uiPriority w:val="32"/>
    <w:qFormat/>
    <w:rsid w:val="00E40ED0"/>
    <w:rPr>
      <w:b/>
      <w:bCs/>
      <w:smallCaps/>
      <w:color w:val="0F4761" w:themeColor="accent1" w:themeShade="BF"/>
      <w:spacing w:val="5"/>
    </w:rPr>
  </w:style>
  <w:style w:type="paragraph" w:styleId="ae">
    <w:name w:val="Normal (Web)"/>
    <w:basedOn w:val="a"/>
    <w:uiPriority w:val="99"/>
    <w:semiHidden/>
    <w:unhideWhenUsed/>
    <w:rsid w:val="003F5356"/>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496694">
      <w:bodyDiv w:val="1"/>
      <w:marLeft w:val="0"/>
      <w:marRight w:val="0"/>
      <w:marTop w:val="0"/>
      <w:marBottom w:val="0"/>
      <w:divBdr>
        <w:top w:val="none" w:sz="0" w:space="0" w:color="auto"/>
        <w:left w:val="none" w:sz="0" w:space="0" w:color="auto"/>
        <w:bottom w:val="none" w:sz="0" w:space="0" w:color="auto"/>
        <w:right w:val="none" w:sz="0" w:space="0" w:color="auto"/>
      </w:divBdr>
    </w:div>
    <w:div w:id="237980317">
      <w:bodyDiv w:val="1"/>
      <w:marLeft w:val="0"/>
      <w:marRight w:val="0"/>
      <w:marTop w:val="0"/>
      <w:marBottom w:val="0"/>
      <w:divBdr>
        <w:top w:val="none" w:sz="0" w:space="0" w:color="auto"/>
        <w:left w:val="none" w:sz="0" w:space="0" w:color="auto"/>
        <w:bottom w:val="none" w:sz="0" w:space="0" w:color="auto"/>
        <w:right w:val="none" w:sz="0" w:space="0" w:color="auto"/>
      </w:divBdr>
    </w:div>
    <w:div w:id="662392945">
      <w:bodyDiv w:val="1"/>
      <w:marLeft w:val="0"/>
      <w:marRight w:val="0"/>
      <w:marTop w:val="0"/>
      <w:marBottom w:val="0"/>
      <w:divBdr>
        <w:top w:val="none" w:sz="0" w:space="0" w:color="auto"/>
        <w:left w:val="none" w:sz="0" w:space="0" w:color="auto"/>
        <w:bottom w:val="none" w:sz="0" w:space="0" w:color="auto"/>
        <w:right w:val="none" w:sz="0" w:space="0" w:color="auto"/>
      </w:divBdr>
    </w:div>
    <w:div w:id="948659588">
      <w:bodyDiv w:val="1"/>
      <w:marLeft w:val="0"/>
      <w:marRight w:val="0"/>
      <w:marTop w:val="0"/>
      <w:marBottom w:val="0"/>
      <w:divBdr>
        <w:top w:val="none" w:sz="0" w:space="0" w:color="auto"/>
        <w:left w:val="none" w:sz="0" w:space="0" w:color="auto"/>
        <w:bottom w:val="none" w:sz="0" w:space="0" w:color="auto"/>
        <w:right w:val="none" w:sz="0" w:space="0" w:color="auto"/>
      </w:divBdr>
    </w:div>
    <w:div w:id="979381815">
      <w:bodyDiv w:val="1"/>
      <w:marLeft w:val="0"/>
      <w:marRight w:val="0"/>
      <w:marTop w:val="0"/>
      <w:marBottom w:val="0"/>
      <w:divBdr>
        <w:top w:val="none" w:sz="0" w:space="0" w:color="auto"/>
        <w:left w:val="none" w:sz="0" w:space="0" w:color="auto"/>
        <w:bottom w:val="none" w:sz="0" w:space="0" w:color="auto"/>
        <w:right w:val="none" w:sz="0" w:space="0" w:color="auto"/>
      </w:divBdr>
    </w:div>
    <w:div w:id="1150170364">
      <w:bodyDiv w:val="1"/>
      <w:marLeft w:val="0"/>
      <w:marRight w:val="0"/>
      <w:marTop w:val="0"/>
      <w:marBottom w:val="0"/>
      <w:divBdr>
        <w:top w:val="none" w:sz="0" w:space="0" w:color="auto"/>
        <w:left w:val="none" w:sz="0" w:space="0" w:color="auto"/>
        <w:bottom w:val="none" w:sz="0" w:space="0" w:color="auto"/>
        <w:right w:val="none" w:sz="0" w:space="0" w:color="auto"/>
      </w:divBdr>
    </w:div>
    <w:div w:id="1151478545">
      <w:bodyDiv w:val="1"/>
      <w:marLeft w:val="0"/>
      <w:marRight w:val="0"/>
      <w:marTop w:val="0"/>
      <w:marBottom w:val="0"/>
      <w:divBdr>
        <w:top w:val="none" w:sz="0" w:space="0" w:color="auto"/>
        <w:left w:val="none" w:sz="0" w:space="0" w:color="auto"/>
        <w:bottom w:val="none" w:sz="0" w:space="0" w:color="auto"/>
        <w:right w:val="none" w:sz="0" w:space="0" w:color="auto"/>
      </w:divBdr>
    </w:div>
    <w:div w:id="1276251370">
      <w:bodyDiv w:val="1"/>
      <w:marLeft w:val="0"/>
      <w:marRight w:val="0"/>
      <w:marTop w:val="0"/>
      <w:marBottom w:val="0"/>
      <w:divBdr>
        <w:top w:val="none" w:sz="0" w:space="0" w:color="auto"/>
        <w:left w:val="none" w:sz="0" w:space="0" w:color="auto"/>
        <w:bottom w:val="none" w:sz="0" w:space="0" w:color="auto"/>
        <w:right w:val="none" w:sz="0" w:space="0" w:color="auto"/>
      </w:divBdr>
    </w:div>
    <w:div w:id="1423262972">
      <w:bodyDiv w:val="1"/>
      <w:marLeft w:val="0"/>
      <w:marRight w:val="0"/>
      <w:marTop w:val="0"/>
      <w:marBottom w:val="0"/>
      <w:divBdr>
        <w:top w:val="none" w:sz="0" w:space="0" w:color="auto"/>
        <w:left w:val="none" w:sz="0" w:space="0" w:color="auto"/>
        <w:bottom w:val="none" w:sz="0" w:space="0" w:color="auto"/>
        <w:right w:val="none" w:sz="0" w:space="0" w:color="auto"/>
      </w:divBdr>
    </w:div>
    <w:div w:id="1568034999">
      <w:bodyDiv w:val="1"/>
      <w:marLeft w:val="0"/>
      <w:marRight w:val="0"/>
      <w:marTop w:val="0"/>
      <w:marBottom w:val="0"/>
      <w:divBdr>
        <w:top w:val="none" w:sz="0" w:space="0" w:color="auto"/>
        <w:left w:val="none" w:sz="0" w:space="0" w:color="auto"/>
        <w:bottom w:val="none" w:sz="0" w:space="0" w:color="auto"/>
        <w:right w:val="none" w:sz="0" w:space="0" w:color="auto"/>
      </w:divBdr>
    </w:div>
    <w:div w:id="1739134181">
      <w:bodyDiv w:val="1"/>
      <w:marLeft w:val="0"/>
      <w:marRight w:val="0"/>
      <w:marTop w:val="0"/>
      <w:marBottom w:val="0"/>
      <w:divBdr>
        <w:top w:val="none" w:sz="0" w:space="0" w:color="auto"/>
        <w:left w:val="none" w:sz="0" w:space="0" w:color="auto"/>
        <w:bottom w:val="none" w:sz="0" w:space="0" w:color="auto"/>
        <w:right w:val="none" w:sz="0" w:space="0" w:color="auto"/>
      </w:divBdr>
    </w:div>
    <w:div w:id="1915816608">
      <w:bodyDiv w:val="1"/>
      <w:marLeft w:val="0"/>
      <w:marRight w:val="0"/>
      <w:marTop w:val="0"/>
      <w:marBottom w:val="0"/>
      <w:divBdr>
        <w:top w:val="none" w:sz="0" w:space="0" w:color="auto"/>
        <w:left w:val="none" w:sz="0" w:space="0" w:color="auto"/>
        <w:bottom w:val="none" w:sz="0" w:space="0" w:color="auto"/>
        <w:right w:val="none" w:sz="0" w:space="0" w:color="auto"/>
      </w:divBdr>
    </w:div>
    <w:div w:id="2049604297">
      <w:bodyDiv w:val="1"/>
      <w:marLeft w:val="0"/>
      <w:marRight w:val="0"/>
      <w:marTop w:val="0"/>
      <w:marBottom w:val="0"/>
      <w:divBdr>
        <w:top w:val="none" w:sz="0" w:space="0" w:color="auto"/>
        <w:left w:val="none" w:sz="0" w:space="0" w:color="auto"/>
        <w:bottom w:val="none" w:sz="0" w:space="0" w:color="auto"/>
        <w:right w:val="none" w:sz="0" w:space="0" w:color="auto"/>
      </w:divBdr>
    </w:div>
    <w:div w:id="2078941889">
      <w:bodyDiv w:val="1"/>
      <w:marLeft w:val="0"/>
      <w:marRight w:val="0"/>
      <w:marTop w:val="0"/>
      <w:marBottom w:val="0"/>
      <w:divBdr>
        <w:top w:val="none" w:sz="0" w:space="0" w:color="auto"/>
        <w:left w:val="none" w:sz="0" w:space="0" w:color="auto"/>
        <w:bottom w:val="none" w:sz="0" w:space="0" w:color="auto"/>
        <w:right w:val="none" w:sz="0" w:space="0" w:color="auto"/>
      </w:divBdr>
    </w:div>
    <w:div w:id="2133356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4</Pages>
  <Words>1215</Words>
  <Characters>6931</Characters>
  <Application>Microsoft Office Word</Application>
  <DocSecurity>0</DocSecurity>
  <Lines>57</Lines>
  <Paragraphs>16</Paragraphs>
  <ScaleCrop>false</ScaleCrop>
  <Company/>
  <LinksUpToDate>false</LinksUpToDate>
  <CharactersWithSpaces>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2026-04-24T07:22:00Z</dcterms:created>
  <dcterms:modified xsi:type="dcterms:W3CDTF">2026-04-24T11:27:00Z</dcterms:modified>
</cp:coreProperties>
</file>