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50F1" w14:textId="7DD00878" w:rsidR="00071CC4" w:rsidRDefault="00491078">
      <w:r>
        <w:t>Overseas-Chinese banking corporation</w:t>
      </w:r>
    </w:p>
    <w:p w14:paraId="508E347F" w14:textId="77777777" w:rsidR="00491078" w:rsidRDefault="00491078"/>
    <w:p w14:paraId="7A80CB38" w14:textId="77777777" w:rsidR="00491078" w:rsidRDefault="00491078">
      <w:bookmarkStart w:id="0" w:name="_GoBack"/>
      <w:bookmarkEnd w:id="0"/>
    </w:p>
    <w:sectPr w:rsidR="004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8"/>
    <w:rsid w:val="00071CC4"/>
    <w:rsid w:val="0049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69A0"/>
  <w15:chartTrackingRefBased/>
  <w15:docId w15:val="{9B34AF8C-AEC9-4BE6-B548-E084732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Guangyu</dc:creator>
  <cp:keywords/>
  <dc:description/>
  <cp:lastModifiedBy>Yan Guangyu</cp:lastModifiedBy>
  <cp:revision>1</cp:revision>
  <dcterms:created xsi:type="dcterms:W3CDTF">2019-04-24T06:19:00Z</dcterms:created>
  <dcterms:modified xsi:type="dcterms:W3CDTF">2019-04-24T06:20:00Z</dcterms:modified>
</cp:coreProperties>
</file>