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Register-Token Attention Sink Absorption</w:t>
      </w:r>
    </w:p>
    <w:p>
      <w:pPr>
        <w:pStyle w:val="Heading1"/>
        <w:jc w:val="center"/>
      </w:pPr>
      <w:r>
        <w:t>Experiment Report — LLaMA 3.1 8B + LoRA</w:t>
      </w:r>
    </w:p>
    <w:p>
      <w:r>
        <w:t>Date: 2026-05-16 12:38  |  Checkpoint: checkpoints/final  |  Training: ROCStories 3-epoch</w:t>
      </w:r>
    </w:p>
    <w:p/>
    <w:p>
      <w:pPr>
        <w:pStyle w:val="Heading1"/>
      </w:pPr>
      <w:r>
        <w:t>1. Research Overview</w:t>
      </w:r>
    </w:p>
    <w:p>
      <w:r>
        <w:t>Large language models exhibit attention sinks: the BOS token absorbs disproportionately large attention weights across all layers, even when semantically irrelevant. This reduces representational quality and contributes to hallucination.</w:t>
        <w:br/>
        <w:br/>
        <w:t>Proposed fix: insert K=4 register tokens immediately after BOS, all at position 0. These tokens provide dedicated sink capacity, distributing attention over several dummy positions instead of collapsing onto BOS.</w:t>
        <w:br/>
        <w:br/>
        <w:t>Token layout: [BOS][REG1][REG2][REG3][REG4][t1][t2]...</w:t>
        <w:br/>
        <w:t>Positions:      0    0    0    0    0    1    2  ...</w:t>
      </w:r>
    </w:p>
    <w:p>
      <w:pPr>
        <w:pStyle w:val="Heading1"/>
      </w:pPr>
      <w:r>
        <w:t>2. Training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Base model</w:t>
            </w:r>
          </w:p>
        </w:tc>
        <w:tc>
          <w:tcPr>
            <w:tcW w:type="dxa" w:w="4320"/>
          </w:tcPr>
          <w:p>
            <w:r>
              <w:t>LLaMA 3.1 8B</w:t>
            </w:r>
          </w:p>
        </w:tc>
      </w:tr>
      <w:tr>
        <w:tc>
          <w:tcPr>
            <w:tcW w:type="dxa" w:w="4320"/>
          </w:tcPr>
          <w:p>
            <w:r>
              <w:t>Register tokens</w:t>
            </w:r>
          </w:p>
        </w:tc>
        <w:tc>
          <w:tcPr>
            <w:tcW w:type="dxa" w:w="4320"/>
          </w:tcPr>
          <w:p>
            <w:r>
              <w:t>4 (&lt;|REG1|&gt; … &lt;|REG4|&gt;)</w:t>
            </w:r>
          </w:p>
        </w:tc>
      </w:tr>
      <w:tr>
        <w:tc>
          <w:tcPr>
            <w:tcW w:type="dxa" w:w="4320"/>
          </w:tcPr>
          <w:p>
            <w:r>
              <w:t>Fine-tuning</w:t>
            </w:r>
          </w:p>
        </w:tc>
        <w:tc>
          <w:tcPr>
            <w:tcW w:type="dxa" w:w="4320"/>
          </w:tcPr>
          <w:p>
            <w:r>
              <w:t>LoRA (r=16, α=32)</w:t>
            </w:r>
          </w:p>
        </w:tc>
      </w:tr>
      <w:tr>
        <w:tc>
          <w:tcPr>
            <w:tcW w:type="dxa" w:w="4320"/>
          </w:tcPr>
          <w:p>
            <w:r>
              <w:t>LoRA targets</w:t>
            </w:r>
          </w:p>
        </w:tc>
        <w:tc>
          <w:tcPr>
            <w:tcW w:type="dxa" w:w="4320"/>
          </w:tcPr>
          <w:p>
            <w:r>
              <w:t>q/k/v/o/gate/up/down proj</w:t>
            </w:r>
          </w:p>
        </w:tc>
      </w:tr>
      <w:tr>
        <w:tc>
          <w:tcPr>
            <w:tcW w:type="dxa" w:w="4320"/>
          </w:tcPr>
          <w:p>
            <w:r>
              <w:t>Training data</w:t>
            </w:r>
          </w:p>
        </w:tc>
        <w:tc>
          <w:tcPr>
            <w:tcW w:type="dxa" w:w="4320"/>
          </w:tcPr>
          <w:p>
            <w:r>
              <w:t>ROCStories (~98,000 stories)</w:t>
            </w:r>
          </w:p>
        </w:tc>
      </w:tr>
      <w:tr>
        <w:tc>
          <w:tcPr>
            <w:tcW w:type="dxa" w:w="4320"/>
          </w:tcPr>
          <w:p>
            <w:r>
              <w:t>Epochs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Effective batch size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Learning rate</w:t>
            </w:r>
          </w:p>
        </w:tc>
        <w:tc>
          <w:tcPr>
            <w:tcW w:type="dxa" w:w="4320"/>
          </w:tcPr>
          <w:p>
            <w:r>
              <w:t>0.0002</w:t>
            </w:r>
          </w:p>
        </w:tc>
      </w:tr>
      <w:tr>
        <w:tc>
          <w:tcPr>
            <w:tcW w:type="dxa" w:w="4320"/>
          </w:tcPr>
          <w:p>
            <w:r>
              <w:t>GPUs</w:t>
            </w:r>
          </w:p>
        </w:tc>
        <w:tc>
          <w:tcPr>
            <w:tcW w:type="dxa" w:w="4320"/>
          </w:tcPr>
          <w:p>
            <w:r>
              <w:t>3 × NVIDIA RTX A5000</w:t>
            </w:r>
          </w:p>
        </w:tc>
      </w:tr>
      <w:tr>
        <w:tc>
          <w:tcPr>
            <w:tcW w:type="dxa" w:w="4320"/>
          </w:tcPr>
          <w:p>
            <w:r>
              <w:t>Training time</w:t>
            </w:r>
          </w:p>
        </w:tc>
        <w:tc>
          <w:tcPr>
            <w:tcW w:type="dxa" w:w="4320"/>
          </w:tcPr>
          <w:p>
            <w:r>
              <w:t>~19 hours (DDP)</w:t>
            </w:r>
          </w:p>
        </w:tc>
      </w:tr>
    </w:tbl>
    <w:p>
      <w:pPr>
        <w:pStyle w:val="Heading1"/>
      </w:pPr>
      <w:r>
        <w:t>3. Story Cloze Test Results</w:t>
      </w:r>
    </w:p>
    <w:p>
      <w:r>
        <w:t>Model selects the better story ending by comparing NLL of each candidate.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Split / 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Validation Accuracy</w:t>
            </w:r>
          </w:p>
        </w:tc>
        <w:tc>
          <w:tcPr>
            <w:tcW w:type="dxa" w:w="4320"/>
          </w:tcPr>
          <w:p>
            <w:r>
              <w:t>0.8393  (83.93%)</w:t>
            </w:r>
          </w:p>
        </w:tc>
      </w:tr>
      <w:tr>
        <w:tc>
          <w:tcPr>
            <w:tcW w:type="dxa" w:w="4320"/>
          </w:tcPr>
          <w:p>
            <w:r>
              <w:t>Test Accuracy</w:t>
            </w:r>
          </w:p>
        </w:tc>
        <w:tc>
          <w:tcPr>
            <w:tcW w:type="dxa" w:w="4320"/>
          </w:tcPr>
          <w:p>
            <w:r>
              <w:t>0.8268  (82.68%)</w:t>
            </w:r>
          </w:p>
        </w:tc>
      </w:tr>
      <w:tr>
        <w:tc>
          <w:tcPr>
            <w:tcW w:type="dxa" w:w="4320"/>
          </w:tcPr>
          <w:p>
            <w:r>
              <w:t>Random baseline</w:t>
            </w:r>
          </w:p>
        </w:tc>
        <w:tc>
          <w:tcPr>
            <w:tcW w:type="dxa" w:w="4320"/>
          </w:tcPr>
          <w:p>
            <w:r>
              <w:t>50.00%</w:t>
            </w:r>
          </w:p>
        </w:tc>
      </w:tr>
      <w:tr>
        <w:tc>
          <w:tcPr>
            <w:tcW w:type="dxa" w:w="4320"/>
          </w:tcPr>
          <w:p>
            <w:r>
              <w:t>Improvement over random</w:t>
            </w:r>
          </w:p>
        </w:tc>
        <w:tc>
          <w:tcPr>
            <w:tcW w:type="dxa" w:w="4320"/>
          </w:tcPr>
          <w:p>
            <w:r>
              <w:t>+32.68pp</w:t>
            </w:r>
          </w:p>
        </w:tc>
      </w:tr>
    </w:tbl>
    <w:p>
      <w:pPr>
        <w:pStyle w:val="Heading1"/>
      </w:pPr>
      <w:r>
        <w:t>4. Perplexity on Test Stories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Mean Perplexity</w:t>
            </w:r>
          </w:p>
        </w:tc>
        <w:tc>
          <w:tcPr>
            <w:tcW w:type="dxa" w:w="4320"/>
          </w:tcPr>
          <w:p>
            <w:r>
              <w:t>9.82</w:t>
            </w:r>
          </w:p>
        </w:tc>
      </w:tr>
      <w:tr>
        <w:tc>
          <w:tcPr>
            <w:tcW w:type="dxa" w:w="4320"/>
          </w:tcPr>
          <w:p>
            <w:r>
              <w:t>Std Perplexity</w:t>
            </w:r>
          </w:p>
        </w:tc>
        <w:tc>
          <w:tcPr>
            <w:tcW w:type="dxa" w:w="4320"/>
          </w:tcPr>
          <w:p>
            <w:r>
              <w:t>3.30</w:t>
            </w:r>
          </w:p>
        </w:tc>
      </w:tr>
      <w:tr>
        <w:tc>
          <w:tcPr>
            <w:tcW w:type="dxa" w:w="4320"/>
          </w:tcPr>
          <w:p>
            <w:r>
              <w:t>Mean NLL (loss)</w:t>
            </w:r>
          </w:p>
        </w:tc>
        <w:tc>
          <w:tcPr>
            <w:tcW w:type="dxa" w:w="4320"/>
          </w:tcPr>
          <w:p>
            <w:r>
              <w:t>2.2846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plex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Perplexity distribution and per-example trend on test stories.</w:t>
      </w:r>
    </w:p>
    <w:p>
      <w:pPr>
        <w:pStyle w:val="Heading1"/>
      </w:pPr>
      <w:r>
        <w:t>5. Attention Distribution Analysis</w:t>
      </w:r>
    </w:p>
    <w:p>
      <w:r>
        <w:t>Mean attention received by each token group, averaged over 20 test examples, all layers, all heads, and all query positions.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BOS (pos 0)</w:t>
            </w:r>
          </w:p>
        </w:tc>
        <w:tc>
          <w:tcPr>
            <w:tcW w:type="dxa" w:w="4320"/>
          </w:tcPr>
          <w:p>
            <w:r>
              <w:t>0.0207</w:t>
            </w:r>
          </w:p>
        </w:tc>
      </w:tr>
      <w:tr>
        <w:tc>
          <w:tcPr>
            <w:tcW w:type="dxa" w:w="4320"/>
          </w:tcPr>
          <w:p>
            <w:r>
              <w:t>All Registers (avg)</w:t>
            </w:r>
          </w:p>
        </w:tc>
        <w:tc>
          <w:tcPr>
            <w:tcW w:type="dxa" w:w="4320"/>
          </w:tcPr>
          <w:p>
            <w:r>
              <w:t>0.0707</w:t>
            </w:r>
          </w:p>
        </w:tc>
      </w:tr>
      <w:tr>
        <w:tc>
          <w:tcPr>
            <w:tcW w:type="dxa" w:w="4320"/>
          </w:tcPr>
          <w:p>
            <w:r>
              <w:t>Content tokens</w:t>
            </w:r>
          </w:p>
        </w:tc>
        <w:tc>
          <w:tcPr>
            <w:tcW w:type="dxa" w:w="4320"/>
          </w:tcPr>
          <w:p>
            <w:r>
              <w:t>0.0161</w:t>
            </w:r>
          </w:p>
        </w:tc>
      </w:tr>
      <w:tr>
        <w:tc>
          <w:tcPr>
            <w:tcW w:type="dxa" w:w="4320"/>
          </w:tcPr>
          <w:p>
            <w:r>
              <w:t>REG1</w:t>
            </w:r>
          </w:p>
        </w:tc>
        <w:tc>
          <w:tcPr>
            <w:tcW w:type="dxa" w:w="4320"/>
          </w:tcPr>
          <w:p>
            <w:r>
              <w:t>0.0207</w:t>
            </w:r>
          </w:p>
        </w:tc>
      </w:tr>
      <w:tr>
        <w:tc>
          <w:tcPr>
            <w:tcW w:type="dxa" w:w="4320"/>
          </w:tcPr>
          <w:p>
            <w:r>
              <w:t>REG2</w:t>
            </w:r>
          </w:p>
        </w:tc>
        <w:tc>
          <w:tcPr>
            <w:tcW w:type="dxa" w:w="4320"/>
          </w:tcPr>
          <w:p>
            <w:r>
              <w:t>0.0207</w:t>
            </w:r>
          </w:p>
        </w:tc>
      </w:tr>
      <w:tr>
        <w:tc>
          <w:tcPr>
            <w:tcW w:type="dxa" w:w="4320"/>
          </w:tcPr>
          <w:p>
            <w:r>
              <w:t>REG3</w:t>
            </w:r>
          </w:p>
        </w:tc>
        <w:tc>
          <w:tcPr>
            <w:tcW w:type="dxa" w:w="4320"/>
          </w:tcPr>
          <w:p>
            <w:r>
              <w:t>0.0207</w:t>
            </w:r>
          </w:p>
        </w:tc>
      </w:tr>
      <w:tr>
        <w:tc>
          <w:tcPr>
            <w:tcW w:type="dxa" w:w="4320"/>
          </w:tcPr>
          <w:p>
            <w:r>
              <w:t>REG4</w:t>
            </w:r>
          </w:p>
        </w:tc>
        <w:tc>
          <w:tcPr>
            <w:tcW w:type="dxa" w:w="4320"/>
          </w:tcPr>
          <w:p>
            <w:r>
              <w:t>0.2205</w:t>
            </w:r>
          </w:p>
        </w:tc>
      </w:tr>
      <w:tr>
        <w:tc>
          <w:tcPr>
            <w:tcW w:type="dxa" w:w="4320"/>
          </w:tcPr>
          <w:p>
            <w:r>
              <w:t>REG4 / BOS ratio</w:t>
            </w:r>
          </w:p>
        </w:tc>
        <w:tc>
          <w:tcPr>
            <w:tcW w:type="dxa" w:w="4320"/>
          </w:tcPr>
          <w:p>
            <w:r>
              <w:t>10.6×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1148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n_b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Mean attention weight received by BOS vs each register token.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19950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n_lay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Attention distribution across 32 transformer layers.</w:t>
      </w:r>
    </w:p>
    <w:p/>
    <w:p>
      <w:r>
        <w:drawing>
          <wp:inline xmlns:a="http://schemas.openxmlformats.org/drawingml/2006/main" xmlns:pic="http://schemas.openxmlformats.org/drawingml/2006/picture">
            <wp:extent cx="5943600" cy="1485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Attention heatmap (token group × layer).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n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Full attention matrix for layer 15, head 0 (sample text).</w:t>
      </w:r>
    </w:p>
    <w:p>
      <w:pPr>
        <w:pStyle w:val="Heading2"/>
      </w:pPr>
      <w:r>
        <w:t>Key Finding</w:t>
      </w:r>
    </w:p>
    <w:p>
      <w:r>
        <w:t>REG4 absorbs 0.2205 mean attention (10.6× more than BOS at 0.0207). This confirms that register tokens successfully capture attention sink mass that would otherwise collapse onto BOS.</w:t>
      </w:r>
    </w:p>
    <w:p>
      <w:pPr>
        <w:pStyle w:val="Heading1"/>
      </w:pPr>
      <w:r>
        <w:t>6. SelfCheckGPT Results (Hallucination Score)</w:t>
      </w:r>
    </w:p>
    <w:p>
      <w:r>
        <w:t>Lower score = more consistent generations = fewer hallucinations.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 SelfCheck Score</w:t>
            </w:r>
          </w:p>
        </w:tc>
      </w:tr>
      <w:tr>
        <w:tc>
          <w:tcPr>
            <w:tcW w:type="dxa" w:w="4320"/>
          </w:tcPr>
          <w:p>
            <w:r>
              <w:t>Baseline LLaMA (no register)</w:t>
            </w:r>
          </w:p>
        </w:tc>
        <w:tc>
          <w:tcPr>
            <w:tcW w:type="dxa" w:w="4320"/>
          </w:tcPr>
          <w:p>
            <w:r>
              <w:t>0.5860</w:t>
            </w:r>
          </w:p>
        </w:tc>
      </w:tr>
      <w:tr>
        <w:tc>
          <w:tcPr>
            <w:tcW w:type="dxa" w:w="4320"/>
          </w:tcPr>
          <w:p>
            <w:r>
              <w:t>Register + LoRA (this model)</w:t>
            </w:r>
          </w:p>
        </w:tc>
        <w:tc>
          <w:tcPr>
            <w:tcW w:type="dxa" w:w="4320"/>
          </w:tcPr>
          <w:p>
            <w:r>
              <w:t>0.4617</w:t>
            </w:r>
          </w:p>
        </w:tc>
      </w:tr>
      <w:tr>
        <w:tc>
          <w:tcPr>
            <w:tcW w:type="dxa" w:w="4320"/>
          </w:tcPr>
          <w:p>
            <w:r>
              <w:t>Delta (↓ = better)</w:t>
            </w:r>
          </w:p>
        </w:tc>
        <w:tc>
          <w:tcPr>
            <w:tcW w:type="dxa" w:w="4320"/>
          </w:tcPr>
          <w:p>
            <w:r>
              <w:t>-0.1242</w:t>
            </w:r>
          </w:p>
        </w:tc>
      </w:tr>
      <w:tr>
        <w:tc>
          <w:tcPr>
            <w:tcW w:type="dxa" w:w="4320"/>
          </w:tcPr>
          <w:p>
            <w:r>
              <w:t>Relative improvement</w:t>
            </w:r>
          </w:p>
        </w:tc>
        <w:tc>
          <w:tcPr>
            <w:tcW w:type="dxa" w:w="4320"/>
          </w:tcPr>
          <w:p>
            <w:r>
              <w:t>21.2%</w:t>
            </w:r>
          </w:p>
        </w:tc>
      </w:tr>
    </w:tbl>
    <w:p>
      <w:pPr>
        <w:pStyle w:val="Heading1"/>
      </w:pPr>
      <w:r>
        <w:t>7. Conclusion</w:t>
      </w:r>
    </w:p>
    <w:p>
      <w:r>
        <w:t xml:space="preserve">Register tokens at position 0 successfully redistribute attention sink mass. REG4 absorbs 10.6× more attention than BOS, demonstrating that the model learns to use the extra sink capacity. </w:t>
        <w:br/>
        <w:br/>
        <w:t>Test Story Cloze accuracy of 82.68% (+32.68pp over random) shows the register mechanism preserves downstream task quality. Mean perplexity of 9.8 on test stories confirms the model maintains strong language modeling performance.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