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i w:val="0"/>
          <w:color w:val="17365D"/>
          <w:sz w:val="40"/>
        </w:rPr>
        <w:t>无背景基元子混沌场理论研究计划</w:t>
      </w:r>
    </w:p>
    <w:p>
      <w:pPr>
        <w:pStyle w:val="Subtitle"/>
        <w:jc w:val="center"/>
      </w:pPr>
      <w:r>
        <w:rPr>
          <w:rFonts w:ascii="微软雅黑" w:hAnsi="微软雅黑" w:eastAsia="微软雅黑"/>
          <w:b w:val="0"/>
          <w:i w:val="0"/>
          <w:color w:val="666666"/>
          <w:sz w:val="22"/>
        </w:rPr>
        <w:t>修订版：纳入内部六维凯勒几何、4+6+3 闭合与丘成桐方程的动力学涌现路线</w:t>
      </w:r>
    </w:p>
    <w:p>
      <w:pPr>
        <w:jc w:val="center"/>
      </w:pPr>
      <w:r>
        <w:rPr>
          <w:rFonts w:ascii="宋体" w:hAnsi="宋体" w:eastAsia="宋体"/>
          <w:b w:val="0"/>
          <w:i w:val="0"/>
          <w:color w:val="444444"/>
          <w:sz w:val="22"/>
        </w:rPr>
        <w:t>—— 围绕无背景、场统一、量子—引力融合、方法互通与十三维闭合的阶段化推进方案 ——</w:t>
      </w:r>
    </w:p>
    <w:tbl>
      <w:tblPr>
        <w:tblW w:type="auto" w:w="0"/>
        <w:jc w:val="center"/>
        <w:tblLayout w:type="fixed"/>
        <w:tblLook w:firstColumn="1" w:firstRow="1" w:lastColumn="0" w:lastRow="0" w:noHBand="0" w:noVBand="1" w:val="04A0"/>
      </w:tblPr>
      <w:tblGrid>
        <w:gridCol w:w="9071"/>
      </w:tblGrid>
      <w:tr>
        <w:trPr>
          <w:tblHeader w:val="true"/>
          <w:cantSplit/>
        </w:trPr>
        <w:tc>
          <w:tcPr>
            <w:tcW w:type="dxa" w:w="9298"/>
            <w:shd w:fill="EEF3F8"/>
            <w:tcMar>
              <w:top w:w="100" w:type="dxa"/>
              <w:start w:w="140" w:type="dxa"/>
              <w:bottom w:w="100" w:type="dxa"/>
              <w:end w:w="140" w:type="dxa"/>
            </w:tcMar>
            <w:vAlign w:val="center"/>
          </w:tcPr>
          <w:p>
            <w:pPr>
              <w:jc w:val="left"/>
            </w:pPr>
            <w:r>
              <w:rPr>
                <w:rFonts w:ascii="宋体" w:hAnsi="宋体" w:eastAsia="宋体"/>
                <w:b w:val="0"/>
                <w:i w:val="0"/>
                <w:color w:val="334155"/>
                <w:sz w:val="21"/>
              </w:rPr>
              <w:t>修订原则：本版认可“内部六维稳定真空几何与丘成桐方程高度兼容”的总体判断，但将其在计划中的表述统一收紧为“存在清晰推导路线、拟在后续论文中完成严格证明”，以保证学术措辞稳健、研究目标明确、投稿表达更具可接受性。</w:t>
            </w:r>
          </w:p>
        </w:tc>
      </w:tr>
    </w:tbl>
    <w:p/>
    <w:p>
      <w:pPr>
        <w:pStyle w:val="Heading1"/>
        <w:pBdr>
          <w:bottom w:val="single" w:sz="8" w:space="1" w:color="B4C6E7"/>
        </w:pBdr>
      </w:pPr>
      <w:r>
        <w:t>一、核心判断与本次修订的总方向</w:t>
      </w:r>
    </w:p>
    <w:p>
      <w:pPr>
        <w:ind w:firstLine="420"/>
      </w:pPr>
      <w:r>
        <w:t>我对“无背景基元子混沌场理论与丘成桐方程在物理图景上高度兼容”的判断予以认可，但不宜在当前阶段把这一路线写成已经完成的定理链条。更稳妥的写法是：内部六维紧致空间若作为混沌场冷却后的稳定真空几何相，则其最低能量构型有望满足里奇平坦条件；当该内部空间进一步获得复结构与凯勒结构时，相关真空方程将转化为复蒙日—安培方程，即通常所说的丘成桐方程。</w:t>
      </w:r>
    </w:p>
    <w:p>
      <w:pPr>
        <w:ind w:firstLine="420"/>
      </w:pPr>
      <w:r>
        <w:t>因此，研发计划的关键修改不只是“加一节丘成桐方程”，而是把“内部六维几何稳定性”前移为主线任务，使其成为从无背景母理论走向 4+6+3 闭合结构的中间桥梁。这样一来，十三维闭合、内部谱标签、费米子零模、玻色传播模、真空可容许性以及量子—引力双极限之间，就不再是并列堆叠，而是被一条连续的逻辑链穿起来。</w:t>
      </w:r>
    </w:p>
    <w:p>
      <w:pPr>
        <w:pStyle w:val="Heading2"/>
      </w:pPr>
      <w:r>
        <w:t>1. 修订前后最关键的结构变化</w:t>
      </w:r>
    </w:p>
    <w:tbl>
      <w:tblPr>
        <w:tblStyle w:val="TableGrid"/>
        <w:tblW w:type="auto" w:w="0"/>
        <w:jc w:val="center"/>
        <w:tblLayout w:type="fixed"/>
        <w:tblLook w:firstColumn="1" w:firstRow="1" w:lastColumn="0" w:lastRow="0" w:noHBand="0" w:noVBand="1" w:val="04A0"/>
      </w:tblPr>
      <w:tblGrid>
        <w:gridCol w:w="1814"/>
        <w:gridCol w:w="3402"/>
        <w:gridCol w:w="3402"/>
      </w:tblGrid>
      <w:tr>
        <w:trPr>
          <w:tblHeader w:val="true"/>
          <w:cantSplit/>
        </w:trPr>
        <w:tc>
          <w:tcPr>
            <w:tcW w:type="dxa" w:w="1814"/>
            <w:shd w:fill="D9E2F3"/>
            <w:tcMar>
              <w:top w:w="80" w:type="dxa"/>
              <w:start w:w="120" w:type="dxa"/>
              <w:bottom w:w="80" w:type="dxa"/>
              <w:end w:w="120" w:type="dxa"/>
            </w:tcMar>
            <w:vAlign w:val="center"/>
          </w:tcPr>
          <w:p>
            <w:pPr>
              <w:jc w:val="center"/>
            </w:pPr>
            <w:r>
              <w:rPr>
                <w:rFonts w:ascii="微软雅黑" w:hAnsi="微软雅黑" w:eastAsia="微软雅黑"/>
                <w:b/>
                <w:i w:val="0"/>
                <w:color w:val="17365D"/>
                <w:sz w:val="21"/>
              </w:rPr>
              <w:t>项目</w:t>
            </w:r>
          </w:p>
        </w:tc>
        <w:tc>
          <w:tcPr>
            <w:tcW w:type="dxa" w:w="3402"/>
            <w:shd w:fill="D9E2F3"/>
            <w:tcMar>
              <w:top w:w="80" w:type="dxa"/>
              <w:start w:w="120" w:type="dxa"/>
              <w:bottom w:w="80" w:type="dxa"/>
              <w:end w:w="120" w:type="dxa"/>
            </w:tcMar>
            <w:vAlign w:val="center"/>
          </w:tcPr>
          <w:p>
            <w:pPr>
              <w:jc w:val="center"/>
            </w:pPr>
            <w:r>
              <w:rPr>
                <w:rFonts w:ascii="微软雅黑" w:hAnsi="微软雅黑" w:eastAsia="微软雅黑"/>
                <w:b/>
                <w:i w:val="0"/>
                <w:color w:val="17365D"/>
                <w:sz w:val="21"/>
              </w:rPr>
              <w:t>原计划重心</w:t>
            </w:r>
          </w:p>
        </w:tc>
        <w:tc>
          <w:tcPr>
            <w:tcW w:type="dxa" w:w="3402"/>
            <w:shd w:fill="D9E2F3"/>
            <w:tcMar>
              <w:top w:w="80" w:type="dxa"/>
              <w:start w:w="120" w:type="dxa"/>
              <w:bottom w:w="80" w:type="dxa"/>
              <w:end w:w="120" w:type="dxa"/>
            </w:tcMar>
            <w:vAlign w:val="center"/>
          </w:tcPr>
          <w:p>
            <w:pPr>
              <w:jc w:val="center"/>
            </w:pPr>
            <w:r>
              <w:rPr>
                <w:rFonts w:ascii="微软雅黑" w:hAnsi="微软雅黑" w:eastAsia="微软雅黑"/>
                <w:b/>
                <w:i w:val="0"/>
                <w:color w:val="17365D"/>
                <w:sz w:val="21"/>
              </w:rPr>
              <w:t>修订后重心</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几何任务位置</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放在后段，与十三维和真空问题并列</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前移为主线桥梁，连接无背景母理论与 4+6+3 闭合</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丘成桐方程角色</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可兼容的数学资源</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内部六维真空几何的核心待证结论</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4+6+3 关系</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外部四维、内部六维、三个离散标签并列陈述</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先 4+6 连续几何分裂，再由内部谱方向导出 3 个离散标签</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论文序列</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先量子场景，再逐步回到几何</w:t>
            </w:r>
          </w:p>
        </w:tc>
        <w:tc>
          <w:tcPr>
            <w:tcW w:type="dxa" w:w="3402"/>
            <w:tcMar>
              <w:top w:w="80" w:type="dxa"/>
              <w:start w:w="120" w:type="dxa"/>
              <w:bottom w:w="80" w:type="dxa"/>
              <w:end w:w="120" w:type="dxa"/>
            </w:tcMar>
            <w:vAlign w:val="center"/>
          </w:tcPr>
          <w:p>
            <w:pPr>
              <w:jc w:val="left"/>
            </w:pPr>
            <w:r>
              <w:rPr>
                <w:rFonts w:ascii="宋体" w:hAnsi="宋体" w:eastAsia="宋体"/>
                <w:b w:val="0"/>
                <w:i w:val="0"/>
                <w:sz w:val="20"/>
              </w:rPr>
              <w:t>先无背景与几何地基，再进入粒子、量子场景与十三维闭合</w:t>
            </w:r>
          </w:p>
        </w:tc>
      </w:tr>
    </w:tbl>
    <w:p/>
    <w:p>
      <w:pPr>
        <w:pStyle w:val="Heading1"/>
        <w:pBdr>
          <w:bottom w:val="single" w:sz="8" w:space="1" w:color="B4C6E7"/>
        </w:pBdr>
      </w:pPr>
      <w:r>
        <w:t>二、修订后的总体目标与总路线</w:t>
      </w:r>
    </w:p>
    <w:p>
      <w:pPr>
        <w:ind w:firstLine="420"/>
      </w:pPr>
      <w:r>
        <w:rPr>
          <w:rFonts w:ascii="宋体" w:hAnsi="宋体" w:eastAsia="宋体"/>
          <w:b/>
          <w:i w:val="0"/>
          <w:color w:val="17365D"/>
          <w:sz w:val="24"/>
        </w:rPr>
        <w:t>总目标：</w:t>
      </w:r>
      <w:r>
        <w:rPr>
          <w:rFonts w:ascii="宋体" w:hAnsi="宋体" w:eastAsia="宋体"/>
          <w:b w:val="0"/>
          <w:i w:val="0"/>
          <w:sz w:val="24"/>
        </w:rPr>
        <w:t>建立一套以无背景基元子混沌场为唯一底层本体的统一理论框架，系统解释有效时空、内部紧致几何、各种有效场、粒子谱分化、量子力学核心场景、真空涨落、量子—引力关系，以及十三维 4+6+3 的闭合结构。</w:t>
      </w:r>
    </w:p>
    <w:p>
      <w:pPr>
        <w:ind w:firstLine="420"/>
      </w:pPr>
      <w:r>
        <w:rPr>
          <w:rFonts w:ascii="宋体" w:hAnsi="宋体" w:eastAsia="宋体"/>
          <w:b/>
          <w:i w:val="0"/>
          <w:color w:val="17365D"/>
          <w:sz w:val="24"/>
        </w:rPr>
        <w:t>总路线：</w:t>
      </w:r>
      <w:r>
        <w:rPr>
          <w:rFonts w:ascii="宋体" w:hAnsi="宋体" w:eastAsia="宋体"/>
          <w:b w:val="0"/>
          <w:i w:val="0"/>
          <w:sz w:val="24"/>
        </w:rPr>
        <w:t>先立无背景母理论，再证明宏观几何相的涌现；随后推进连续十维中的 4+6 动力学分裂，并把内部六维真空稳定性写成“复结构—凯勒结构—里奇平坦—复蒙日—安培方程”的连续路线；在此基础上再统一场、粒子、内部离散谱方向与量子场景解释，最后完成量子—引力双极限、方法互通与十三维闭合。</w:t>
      </w:r>
    </w:p>
    <w:p>
      <w:pPr>
        <w:pStyle w:val="Heading2"/>
      </w:pPr>
      <w:r>
        <w:t>2. 现阶段最稳妥的学术表述</w:t>
      </w:r>
    </w:p>
    <w:p>
      <w:pPr>
        <w:ind w:left="340" w:hanging="227"/>
      </w:pPr>
      <w:r>
        <w:rPr>
          <w:rFonts w:ascii="微软雅黑" w:hAnsi="微软雅黑" w:eastAsia="微软雅黑"/>
          <w:b w:val="0"/>
          <w:i w:val="0"/>
          <w:color w:val="2F5597"/>
          <w:sz w:val="22"/>
        </w:rPr>
        <w:t xml:space="preserve">• </w:t>
      </w:r>
      <w:r>
        <w:rPr>
          <w:rFonts w:ascii="宋体" w:hAnsi="宋体" w:eastAsia="宋体"/>
          <w:b w:val="0"/>
          <w:i w:val="0"/>
          <w:sz w:val="24"/>
        </w:rPr>
        <w:t>计划中不直接声称“丘成桐方程已经从混沌场严格推出”，而是将其定义为内部六维真空几何相的关键待证命题。</w:t>
      </w:r>
    </w:p>
    <w:p>
      <w:pPr>
        <w:ind w:left="340" w:hanging="227"/>
      </w:pPr>
      <w:r>
        <w:rPr>
          <w:rFonts w:ascii="微软雅黑" w:hAnsi="微软雅黑" w:eastAsia="微软雅黑"/>
          <w:b w:val="0"/>
          <w:i w:val="0"/>
          <w:color w:val="2F5597"/>
          <w:sz w:val="22"/>
        </w:rPr>
        <w:t xml:space="preserve">• </w:t>
      </w:r>
      <w:r>
        <w:rPr>
          <w:rFonts w:ascii="宋体" w:hAnsi="宋体" w:eastAsia="宋体"/>
          <w:b w:val="0"/>
          <w:i w:val="0"/>
          <w:sz w:val="24"/>
        </w:rPr>
        <w:t>计划中不把卡拉比—丘空间当先验舞台，而把它视为可能由无背景混沌场在冷却、稳定、粗粒化后落入的几何吸引子类别之一。</w:t>
      </w:r>
    </w:p>
    <w:p>
      <w:pPr>
        <w:ind w:left="340" w:hanging="227"/>
      </w:pPr>
      <w:r>
        <w:rPr>
          <w:rFonts w:ascii="微软雅黑" w:hAnsi="微软雅黑" w:eastAsia="微软雅黑"/>
          <w:b w:val="0"/>
          <w:i w:val="0"/>
          <w:color w:val="2F5597"/>
          <w:sz w:val="22"/>
        </w:rPr>
        <w:t xml:space="preserve">• </w:t>
      </w:r>
      <w:r>
        <w:rPr>
          <w:rFonts w:ascii="宋体" w:hAnsi="宋体" w:eastAsia="宋体"/>
          <w:b w:val="0"/>
          <w:i w:val="0"/>
          <w:sz w:val="24"/>
        </w:rPr>
        <w:t>计划中将“相位流 → 复结构 → 凯勒条件 → 真空方程 → 复蒙日—安培方程”的链条列为重点攻关对象，并为其分别设立阶段成果。</w:t>
      </w:r>
    </w:p>
    <w:p>
      <w:pPr>
        <w:pStyle w:val="Heading1"/>
        <w:pBdr>
          <w:bottom w:val="single" w:sz="8" w:space="1" w:color="B4C6E7"/>
        </w:pBdr>
      </w:pPr>
      <w:r>
        <w:t>三、修订后的阶段划分与执行任务</w:t>
      </w:r>
    </w:p>
    <w:p>
      <w:pPr>
        <w:pStyle w:val="Heading2"/>
      </w:pPr>
      <w:r>
        <w:t>第一阶段：母理论与无背景地基</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统一术语，正式采用“无背景基元子混沌场理论（BICFT）”作为总称；“基础混沌场”仅保留为口语说明。</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写出母方程或母作用量框架，至少满足非线性、传播性、局域化、稳定结构生成以及多尺度粗粒化五项要求。</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建立混沌性判据，如多吸引子、强模态耦合、初值敏感、长时谱混合与正 Lyapunov 指数等。</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完成“无背景”论证：不预设固定时空背景，而由稳定凝聚态与微扰传播导出有效几何、因果、距离与维数。</w:t>
      </w:r>
    </w:p>
    <w:p>
      <w:pPr>
        <w:pStyle w:val="Heading2"/>
      </w:pPr>
      <w:r>
        <w:t>第二阶段：连续十维几何相与 4+6 动力学分裂</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在双极限或粗粒化层面获得连续几何有效作用量，并明确区分连续几何部分与离散谱部分。</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研究连续十维有效几何的稳定解族，论证平庸单相为何不足以支撑丰富物理。</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建立 4 维外部时空与 6 维内部紧致几何的动力学分裂路线，把“4+6”写成待推出的涌现结果而非先验设定。</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把内部六维几何从一般紧致空间收紧为具有进一步结构的候选几何背景。</w:t>
      </w:r>
    </w:p>
    <w:p>
      <w:pPr>
        <w:pStyle w:val="Heading2"/>
      </w:pPr>
      <w:r>
        <w:t>第三阶段：内部六维复结构、凯勒条件与丘成桐方程路线</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研究底层混沌场相位流在内部空间上的投影机制，明确其如何诱导复结构候选。</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在复结构存在的基础上，进一步建立凯勒形式与凯勒度量的出现条件，并说明其与稳定旋量、零模和内部一致性之间的关系。</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从内部六维真空稳定性出发，把最低阶真空条件写成里奇平坦约束，并将其转化为复蒙日—安培方程。</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把“丘成桐方程”定位为内部真空几何相的关键方程，把其可解性与解空间性质定位为后续论文的攻关核心。</w:t>
      </w:r>
    </w:p>
    <w:p>
      <w:pPr>
        <w:pStyle w:val="Heading2"/>
      </w:pPr>
      <w:r>
        <w:t>第四阶段：场统一、粒子统一与三个离散内部谱方向</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在背景态附近对母场展开，导出标量模、矢量模、张量模等有效自由度，证明各种有效场同源。</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把粒子定义为局域稳定构型，如孤子、拓扑缺陷、束缚模或稳定吸引子。</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把玻色子解释为传播模、相位模和能量传输模，把费米子解释为更强局域化的零模或拓扑保护态。</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引入三个彼此对易的内部算子，以公共本征值标记三个离散谱方向，为 4+6+3 中的“3”提供统一来源。</w:t>
      </w:r>
    </w:p>
    <w:p>
      <w:pPr>
        <w:pStyle w:val="Heading2"/>
      </w:pPr>
      <w:r>
        <w:t>第五阶段：量子力学场景、贝尔不等式与真空问题</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将波函数解释为混沌场局域激发在观测层上的有效相位—振幅包络。</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用“局域稳定核 + 扩展传播包络”的双层图景解释波粒二象性、叠加、不确定性与测量。</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将隧穿、纠缠与量子化分别解释为尾模重构、整体态局域投影和稳定模态离散筛选。</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将真空重写为无背景混沌场的基态组织形式，将真空涨落写成内部扰动、模态重排与结构能显化。</w:t>
      </w:r>
    </w:p>
    <w:p>
      <w:pPr>
        <w:pStyle w:val="Heading2"/>
      </w:pPr>
      <w:r>
        <w:t>第六阶段：量子—引力双极限、双几何同源与方法互通</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从微观涨落导出复振幅、态空间与有效量子演化；从宏观组织导出度量、曲率和几何响应。</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把广义相对论中的外部时空几何与量子力学中的内部态空间几何，统一为同一底层混沌场的不同层级涌现。</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系统梳理传播子、格林函数、振荡积分、渐近展开、分布极限、模态分解与有效作用量等工具的同源性。</w:t>
      </w:r>
    </w:p>
    <w:p>
      <w:pPr>
        <w:pStyle w:val="Heading2"/>
      </w:pPr>
      <w:r>
        <w:t>第七阶段：十三维闭合、应用反证与总论收束</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在连续 4+6 的基础上接入三个离散内部谱方向，完成 4+6+3 的有效结构闭合。</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从真空可容许性、费米子零模、玻色传播模、谱分化与量子—几何桥接等方面，对十三维结构做反向合理性支撑。</w:t>
      </w:r>
    </w:p>
    <w:p>
      <w:pPr>
        <w:ind w:left="397" w:hanging="255"/>
      </w:pPr>
      <w:r>
        <w:rPr>
          <w:rFonts w:ascii="微软雅黑" w:hAnsi="微软雅黑" w:eastAsia="微软雅黑"/>
          <w:b w:val="0"/>
          <w:i w:val="0"/>
          <w:color w:val="2F5597"/>
          <w:sz w:val="22"/>
        </w:rPr>
        <w:t xml:space="preserve">• </w:t>
      </w:r>
      <w:r>
        <w:rPr>
          <w:rFonts w:ascii="宋体" w:hAnsi="宋体" w:eastAsia="宋体"/>
          <w:b w:val="0"/>
          <w:i w:val="0"/>
          <w:sz w:val="24"/>
        </w:rPr>
        <w:t>完成总论写作，形成母理论、几何、粒子、量子场景与应用闭环的系列文稿。</w:t>
      </w:r>
    </w:p>
    <w:p>
      <w:pPr>
        <w:pStyle w:val="Heading1"/>
        <w:pBdr>
          <w:bottom w:val="single" w:sz="8" w:space="1" w:color="B4C6E7"/>
        </w:pBdr>
      </w:pPr>
      <w:r>
        <w:t>四、阶段成果、论文序列与当前优先级</w:t>
      </w:r>
    </w:p>
    <w:p>
      <w:pPr>
        <w:pStyle w:val="Heading2"/>
      </w:pPr>
      <w:r>
        <w:t>1. 建议的阶段产出</w:t>
      </w:r>
    </w:p>
    <w:tbl>
      <w:tblPr>
        <w:tblStyle w:val="TableGrid"/>
        <w:tblW w:type="auto" w:w="0"/>
        <w:jc w:val="center"/>
        <w:tblLayout w:type="fixed"/>
        <w:tblLook w:firstColumn="1" w:firstRow="1" w:lastColumn="0" w:lastRow="0" w:noHBand="0" w:noVBand="1" w:val="04A0"/>
      </w:tblPr>
      <w:tblGrid>
        <w:gridCol w:w="2268"/>
        <w:gridCol w:w="3402"/>
        <w:gridCol w:w="3402"/>
      </w:tblGrid>
      <w:tr>
        <w:trPr>
          <w:tblHeader w:val="true"/>
          <w:cantSplit/>
        </w:trPr>
        <w:tc>
          <w:tcPr>
            <w:tcW w:type="dxa" w:w="3099"/>
            <w:shd w:fill="D9E2F3"/>
            <w:tcMar>
              <w:top w:w="80" w:type="dxa"/>
              <w:start w:w="120" w:type="dxa"/>
              <w:bottom w:w="80" w:type="dxa"/>
              <w:end w:w="120" w:type="dxa"/>
            </w:tcMar>
            <w:vAlign w:val="center"/>
          </w:tcPr>
          <w:p>
            <w:pPr>
              <w:jc w:val="center"/>
            </w:pPr>
            <w:r>
              <w:rPr>
                <w:rFonts w:ascii="微软雅黑" w:hAnsi="微软雅黑" w:eastAsia="微软雅黑"/>
                <w:b/>
                <w:i w:val="0"/>
                <w:color w:val="17365D"/>
                <w:sz w:val="21"/>
              </w:rPr>
              <w:t>阶段</w:t>
            </w:r>
          </w:p>
        </w:tc>
        <w:tc>
          <w:tcPr>
            <w:tcW w:type="dxa" w:w="3099"/>
            <w:shd w:fill="D9E2F3"/>
            <w:tcMar>
              <w:top w:w="80" w:type="dxa"/>
              <w:start w:w="120" w:type="dxa"/>
              <w:bottom w:w="80" w:type="dxa"/>
              <w:end w:w="120" w:type="dxa"/>
            </w:tcMar>
            <w:vAlign w:val="center"/>
          </w:tcPr>
          <w:p>
            <w:pPr>
              <w:jc w:val="center"/>
            </w:pPr>
            <w:r>
              <w:rPr>
                <w:rFonts w:ascii="微软雅黑" w:hAnsi="微软雅黑" w:eastAsia="微软雅黑"/>
                <w:b/>
                <w:i w:val="0"/>
                <w:color w:val="17365D"/>
                <w:sz w:val="21"/>
              </w:rPr>
              <w:t>建议产出文稿</w:t>
            </w:r>
          </w:p>
        </w:tc>
        <w:tc>
          <w:tcPr>
            <w:tcW w:type="dxa" w:w="3099"/>
            <w:shd w:fill="D9E2F3"/>
            <w:tcMar>
              <w:top w:w="80" w:type="dxa"/>
              <w:start w:w="120" w:type="dxa"/>
              <w:bottom w:w="80" w:type="dxa"/>
              <w:end w:w="120" w:type="dxa"/>
            </w:tcMar>
            <w:vAlign w:val="center"/>
          </w:tcPr>
          <w:p>
            <w:pPr>
              <w:jc w:val="center"/>
            </w:pPr>
            <w:r>
              <w:rPr>
                <w:rFonts w:ascii="微软雅黑" w:hAnsi="微软雅黑" w:eastAsia="微软雅黑"/>
                <w:b/>
                <w:i w:val="0"/>
                <w:color w:val="17365D"/>
                <w:sz w:val="21"/>
              </w:rPr>
              <w:t>验收重点</w:t>
            </w:r>
          </w:p>
        </w:tc>
      </w:tr>
      <w:tr>
        <w:trPr>
          <w:cantSplit/>
        </w:trPr>
        <w:tc>
          <w:tcPr>
            <w:tcW w:type="dxa" w:w="2268"/>
            <w:tcMar>
              <w:top w:w="80" w:type="dxa"/>
              <w:start w:w="120" w:type="dxa"/>
              <w:bottom w:w="80" w:type="dxa"/>
              <w:end w:w="120" w:type="dxa"/>
            </w:tcMar>
            <w:vAlign w:val="center"/>
          </w:tcPr>
          <w:p>
            <w:pPr>
              <w:jc w:val="center"/>
            </w:pPr>
            <w:r>
              <w:rPr>
                <w:rFonts w:ascii="宋体" w:hAnsi="宋体" w:eastAsia="宋体"/>
                <w:b w:val="0"/>
                <w:i w:val="0"/>
                <w:sz w:val="19"/>
              </w:rPr>
              <w:t>第一阶段</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《无背景基元子混沌场的基本公设与母方程》</w:t>
            </w:r>
            <w:r>
              <w:br/>
            </w:r>
            <w:r>
              <w:rPr>
                <w:rFonts w:ascii="宋体" w:hAnsi="宋体" w:eastAsia="宋体"/>
                <w:b w:val="0"/>
                <w:i w:val="0"/>
                <w:sz w:val="19"/>
              </w:rPr>
              <w:t>《时空背景作为混沌场宏观几何相的涌现证明》</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母方程是否具备统一承载能力；无背景论证是否闭合</w:t>
            </w:r>
          </w:p>
        </w:tc>
      </w:tr>
      <w:tr>
        <w:trPr>
          <w:cantSplit/>
        </w:trPr>
        <w:tc>
          <w:tcPr>
            <w:tcW w:type="dxa" w:w="2268"/>
            <w:tcMar>
              <w:top w:w="80" w:type="dxa"/>
              <w:start w:w="120" w:type="dxa"/>
              <w:bottom w:w="80" w:type="dxa"/>
              <w:end w:w="120" w:type="dxa"/>
            </w:tcMar>
            <w:vAlign w:val="center"/>
          </w:tcPr>
          <w:p>
            <w:pPr>
              <w:jc w:val="center"/>
            </w:pPr>
            <w:r>
              <w:rPr>
                <w:rFonts w:ascii="宋体" w:hAnsi="宋体" w:eastAsia="宋体"/>
                <w:b w:val="0"/>
                <w:i w:val="0"/>
                <w:sz w:val="19"/>
              </w:rPr>
              <w:t>第二—三阶段</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《连续十维几何相与 4+6 动力学分裂》</w:t>
            </w:r>
            <w:r>
              <w:br/>
            </w:r>
            <w:r>
              <w:rPr>
                <w:rFonts w:ascii="宋体" w:hAnsi="宋体" w:eastAsia="宋体"/>
                <w:b w:val="0"/>
                <w:i w:val="0"/>
                <w:sz w:val="19"/>
              </w:rPr>
              <w:t>《内部六维凯勒几何与丘成桐方程的动力学涌现路线》</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是否给出从相位流到复结构、凯勒条件与真空方程的清晰链条</w:t>
            </w:r>
          </w:p>
        </w:tc>
      </w:tr>
      <w:tr>
        <w:trPr>
          <w:cantSplit/>
        </w:trPr>
        <w:tc>
          <w:tcPr>
            <w:tcW w:type="dxa" w:w="2268"/>
            <w:tcMar>
              <w:top w:w="80" w:type="dxa"/>
              <w:start w:w="120" w:type="dxa"/>
              <w:bottom w:w="80" w:type="dxa"/>
              <w:end w:w="120" w:type="dxa"/>
            </w:tcMar>
            <w:vAlign w:val="center"/>
          </w:tcPr>
          <w:p>
            <w:pPr>
              <w:jc w:val="center"/>
            </w:pPr>
            <w:r>
              <w:rPr>
                <w:rFonts w:ascii="宋体" w:hAnsi="宋体" w:eastAsia="宋体"/>
                <w:b w:val="0"/>
                <w:i w:val="0"/>
                <w:sz w:val="19"/>
              </w:rPr>
              <w:t>第四阶段</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《从单一混沌场到有效场统一》</w:t>
            </w:r>
            <w:r>
              <w:br/>
            </w:r>
            <w:r>
              <w:rPr>
                <w:rFonts w:ascii="宋体" w:hAnsi="宋体" w:eastAsia="宋体"/>
                <w:b w:val="0"/>
                <w:i w:val="0"/>
                <w:sz w:val="19"/>
              </w:rPr>
              <w:t>《粒子作为混沌场局域稳定构型》</w:t>
            </w:r>
            <w:r>
              <w:br/>
            </w:r>
            <w:r>
              <w:rPr>
                <w:rFonts w:ascii="宋体" w:hAnsi="宋体" w:eastAsia="宋体"/>
                <w:b w:val="0"/>
                <w:i w:val="0"/>
                <w:sz w:val="19"/>
              </w:rPr>
              <w:t>《三个离散内部谱方向与粒子谱标签》</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场统一与粒子统一能否接到 4+6+3</w:t>
            </w:r>
          </w:p>
        </w:tc>
      </w:tr>
      <w:tr>
        <w:trPr>
          <w:cantSplit/>
        </w:trPr>
        <w:tc>
          <w:tcPr>
            <w:tcW w:type="dxa" w:w="2268"/>
            <w:tcMar>
              <w:top w:w="80" w:type="dxa"/>
              <w:start w:w="120" w:type="dxa"/>
              <w:bottom w:w="80" w:type="dxa"/>
              <w:end w:w="120" w:type="dxa"/>
            </w:tcMar>
            <w:vAlign w:val="center"/>
          </w:tcPr>
          <w:p>
            <w:pPr>
              <w:jc w:val="center"/>
            </w:pPr>
            <w:r>
              <w:rPr>
                <w:rFonts w:ascii="宋体" w:hAnsi="宋体" w:eastAsia="宋体"/>
                <w:b w:val="0"/>
                <w:i w:val="0"/>
                <w:sz w:val="19"/>
              </w:rPr>
              <w:t>第五阶段</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《混沌场对量子力学物理场景的统一解释》</w:t>
            </w:r>
            <w:r>
              <w:br/>
            </w:r>
            <w:r>
              <w:rPr>
                <w:rFonts w:ascii="宋体" w:hAnsi="宋体" w:eastAsia="宋体"/>
                <w:b w:val="0"/>
                <w:i w:val="0"/>
                <w:sz w:val="19"/>
              </w:rPr>
              <w:t>《贝尔不等式场景与纠缠关联的混沌场解释》</w:t>
            </w:r>
            <w:r>
              <w:br/>
            </w:r>
            <w:r>
              <w:rPr>
                <w:rFonts w:ascii="宋体" w:hAnsi="宋体" w:eastAsia="宋体"/>
                <w:b w:val="0"/>
                <w:i w:val="0"/>
                <w:sz w:val="19"/>
              </w:rPr>
              <w:t>《真空涨落与能量来源问题的混沌场重写》</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量子场景解释是否形成一套统一语言</w:t>
            </w:r>
          </w:p>
        </w:tc>
      </w:tr>
      <w:tr>
        <w:trPr>
          <w:cantSplit/>
        </w:trPr>
        <w:tc>
          <w:tcPr>
            <w:tcW w:type="dxa" w:w="2268"/>
            <w:tcMar>
              <w:top w:w="80" w:type="dxa"/>
              <w:start w:w="120" w:type="dxa"/>
              <w:bottom w:w="80" w:type="dxa"/>
              <w:end w:w="120" w:type="dxa"/>
            </w:tcMar>
            <w:vAlign w:val="center"/>
          </w:tcPr>
          <w:p>
            <w:pPr>
              <w:jc w:val="center"/>
            </w:pPr>
            <w:r>
              <w:rPr>
                <w:rFonts w:ascii="宋体" w:hAnsi="宋体" w:eastAsia="宋体"/>
                <w:b w:val="0"/>
                <w:i w:val="0"/>
                <w:sz w:val="19"/>
              </w:rPr>
              <w:t>第六—七阶段</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《量子力学与广义相对论作为同一混沌场的双极限理论》</w:t>
            </w:r>
            <w:r>
              <w:br/>
            </w:r>
            <w:r>
              <w:rPr>
                <w:rFonts w:ascii="宋体" w:hAnsi="宋体" w:eastAsia="宋体"/>
                <w:b w:val="0"/>
                <w:i w:val="0"/>
                <w:sz w:val="19"/>
              </w:rPr>
              <w:t>《双几何同源与方法互通》</w:t>
            </w:r>
            <w:r>
              <w:br/>
            </w:r>
            <w:r>
              <w:rPr>
                <w:rFonts w:ascii="宋体" w:hAnsi="宋体" w:eastAsia="宋体"/>
                <w:b w:val="0"/>
                <w:i w:val="0"/>
                <w:sz w:val="19"/>
              </w:rPr>
              <w:t>《十三维有效结构的导出：4+6+3 分解与应用闭环》</w:t>
            </w:r>
          </w:p>
        </w:tc>
        <w:tc>
          <w:tcPr>
            <w:tcW w:type="dxa" w:w="3402"/>
            <w:tcMar>
              <w:top w:w="80" w:type="dxa"/>
              <w:start w:w="120" w:type="dxa"/>
              <w:bottom w:w="80" w:type="dxa"/>
              <w:end w:w="120" w:type="dxa"/>
            </w:tcMar>
            <w:vAlign w:val="center"/>
          </w:tcPr>
          <w:p>
            <w:pPr>
              <w:jc w:val="left"/>
            </w:pPr>
            <w:r>
              <w:rPr>
                <w:rFonts w:ascii="宋体" w:hAnsi="宋体" w:eastAsia="宋体"/>
                <w:b w:val="0"/>
                <w:i w:val="0"/>
                <w:sz w:val="19"/>
              </w:rPr>
              <w:t>双极限、方法论与十三维闭环能否互相支撑</w:t>
            </w:r>
          </w:p>
        </w:tc>
      </w:tr>
    </w:tbl>
    <w:p/>
    <w:p>
      <w:pPr>
        <w:pStyle w:val="Heading2"/>
      </w:pPr>
      <w:r>
        <w:t>2. 修订后的推荐写作顺序</w:t>
      </w:r>
    </w:p>
    <w:p>
      <w:pPr>
        <w:ind w:left="340" w:hanging="198"/>
      </w:pPr>
      <w:r>
        <w:rPr>
          <w:rFonts w:ascii="微软雅黑" w:hAnsi="微软雅黑" w:eastAsia="微软雅黑"/>
          <w:b/>
          <w:i w:val="0"/>
          <w:color w:val="2F5597"/>
          <w:sz w:val="22"/>
        </w:rPr>
        <w:t xml:space="preserve">1. </w:t>
      </w:r>
      <w:r>
        <w:rPr>
          <w:rFonts w:ascii="宋体" w:hAnsi="宋体" w:eastAsia="宋体"/>
          <w:b w:val="0"/>
          <w:i w:val="0"/>
          <w:sz w:val="24"/>
        </w:rPr>
        <w:t>无背景基元子混沌场的基本公设与母方程</w:t>
      </w:r>
    </w:p>
    <w:p>
      <w:pPr>
        <w:ind w:left="340" w:hanging="198"/>
      </w:pPr>
      <w:r>
        <w:rPr>
          <w:rFonts w:ascii="微软雅黑" w:hAnsi="微软雅黑" w:eastAsia="微软雅黑"/>
          <w:b/>
          <w:i w:val="0"/>
          <w:color w:val="2F5597"/>
          <w:sz w:val="22"/>
        </w:rPr>
        <w:t xml:space="preserve">2. </w:t>
      </w:r>
      <w:r>
        <w:rPr>
          <w:rFonts w:ascii="宋体" w:hAnsi="宋体" w:eastAsia="宋体"/>
          <w:b w:val="0"/>
          <w:i w:val="0"/>
          <w:sz w:val="24"/>
        </w:rPr>
        <w:t>时空背景作为混沌场宏观几何相的涌现证明</w:t>
      </w:r>
    </w:p>
    <w:p>
      <w:pPr>
        <w:ind w:left="340" w:hanging="198"/>
      </w:pPr>
      <w:r>
        <w:rPr>
          <w:rFonts w:ascii="微软雅黑" w:hAnsi="微软雅黑" w:eastAsia="微软雅黑"/>
          <w:b/>
          <w:i w:val="0"/>
          <w:color w:val="2F5597"/>
          <w:sz w:val="22"/>
        </w:rPr>
        <w:t xml:space="preserve">3. </w:t>
      </w:r>
      <w:r>
        <w:rPr>
          <w:rFonts w:ascii="宋体" w:hAnsi="宋体" w:eastAsia="宋体"/>
          <w:b w:val="0"/>
          <w:i w:val="0"/>
          <w:sz w:val="24"/>
        </w:rPr>
        <w:t>连续十维几何相与 4+6 动力学分裂</w:t>
      </w:r>
    </w:p>
    <w:p>
      <w:pPr>
        <w:ind w:left="340" w:hanging="198"/>
      </w:pPr>
      <w:r>
        <w:rPr>
          <w:rFonts w:ascii="微软雅黑" w:hAnsi="微软雅黑" w:eastAsia="微软雅黑"/>
          <w:b/>
          <w:i w:val="0"/>
          <w:color w:val="2F5597"/>
          <w:sz w:val="22"/>
        </w:rPr>
        <w:t xml:space="preserve">4. </w:t>
      </w:r>
      <w:r>
        <w:rPr>
          <w:rFonts w:ascii="宋体" w:hAnsi="宋体" w:eastAsia="宋体"/>
          <w:b w:val="0"/>
          <w:i w:val="0"/>
          <w:sz w:val="24"/>
        </w:rPr>
        <w:t>内部六维凯勒几何与丘成桐方程的动力学涌现路线</w:t>
      </w:r>
    </w:p>
    <w:p>
      <w:pPr>
        <w:ind w:left="340" w:hanging="198"/>
      </w:pPr>
      <w:r>
        <w:rPr>
          <w:rFonts w:ascii="微软雅黑" w:hAnsi="微软雅黑" w:eastAsia="微软雅黑"/>
          <w:b/>
          <w:i w:val="0"/>
          <w:color w:val="2F5597"/>
          <w:sz w:val="22"/>
        </w:rPr>
        <w:t xml:space="preserve">5. </w:t>
      </w:r>
      <w:r>
        <w:rPr>
          <w:rFonts w:ascii="宋体" w:hAnsi="宋体" w:eastAsia="宋体"/>
          <w:b w:val="0"/>
          <w:i w:val="0"/>
          <w:sz w:val="24"/>
        </w:rPr>
        <w:t>从单一混沌场到有效场统一</w:t>
      </w:r>
    </w:p>
    <w:p>
      <w:pPr>
        <w:ind w:left="340" w:hanging="198"/>
      </w:pPr>
      <w:r>
        <w:rPr>
          <w:rFonts w:ascii="微软雅黑" w:hAnsi="微软雅黑" w:eastAsia="微软雅黑"/>
          <w:b/>
          <w:i w:val="0"/>
          <w:color w:val="2F5597"/>
          <w:sz w:val="22"/>
        </w:rPr>
        <w:t xml:space="preserve">6. </w:t>
      </w:r>
      <w:r>
        <w:rPr>
          <w:rFonts w:ascii="宋体" w:hAnsi="宋体" w:eastAsia="宋体"/>
          <w:b w:val="0"/>
          <w:i w:val="0"/>
          <w:sz w:val="24"/>
        </w:rPr>
        <w:t>粒子作为混沌场局域稳定构型</w:t>
      </w:r>
    </w:p>
    <w:p>
      <w:pPr>
        <w:ind w:left="340" w:hanging="198"/>
      </w:pPr>
      <w:r>
        <w:rPr>
          <w:rFonts w:ascii="微软雅黑" w:hAnsi="微软雅黑" w:eastAsia="微软雅黑"/>
          <w:b/>
          <w:i w:val="0"/>
          <w:color w:val="2F5597"/>
          <w:sz w:val="22"/>
        </w:rPr>
        <w:t xml:space="preserve">7. </w:t>
      </w:r>
      <w:r>
        <w:rPr>
          <w:rFonts w:ascii="宋体" w:hAnsi="宋体" w:eastAsia="宋体"/>
          <w:b w:val="0"/>
          <w:i w:val="0"/>
          <w:sz w:val="24"/>
        </w:rPr>
        <w:t>三个离散内部谱方向与粒子谱标签</w:t>
      </w:r>
    </w:p>
    <w:p>
      <w:pPr>
        <w:ind w:left="340" w:hanging="198"/>
      </w:pPr>
      <w:r>
        <w:rPr>
          <w:rFonts w:ascii="微软雅黑" w:hAnsi="微软雅黑" w:eastAsia="微软雅黑"/>
          <w:b/>
          <w:i w:val="0"/>
          <w:color w:val="2F5597"/>
          <w:sz w:val="22"/>
        </w:rPr>
        <w:t xml:space="preserve">8. </w:t>
      </w:r>
      <w:r>
        <w:rPr>
          <w:rFonts w:ascii="宋体" w:hAnsi="宋体" w:eastAsia="宋体"/>
          <w:b w:val="0"/>
          <w:i w:val="0"/>
          <w:sz w:val="24"/>
        </w:rPr>
        <w:t>混沌场对量子力学物理场景的统一解释</w:t>
      </w:r>
    </w:p>
    <w:p>
      <w:pPr>
        <w:ind w:left="340" w:hanging="198"/>
      </w:pPr>
      <w:r>
        <w:rPr>
          <w:rFonts w:ascii="微软雅黑" w:hAnsi="微软雅黑" w:eastAsia="微软雅黑"/>
          <w:b/>
          <w:i w:val="0"/>
          <w:color w:val="2F5597"/>
          <w:sz w:val="22"/>
        </w:rPr>
        <w:t xml:space="preserve">9. </w:t>
      </w:r>
      <w:r>
        <w:rPr>
          <w:rFonts w:ascii="宋体" w:hAnsi="宋体" w:eastAsia="宋体"/>
          <w:b w:val="0"/>
          <w:i w:val="0"/>
          <w:sz w:val="24"/>
        </w:rPr>
        <w:t>贝尔不等式场景与纠缠关联的混沌场解释</w:t>
      </w:r>
    </w:p>
    <w:p>
      <w:pPr>
        <w:ind w:left="340" w:hanging="198"/>
      </w:pPr>
      <w:r>
        <w:rPr>
          <w:rFonts w:ascii="微软雅黑" w:hAnsi="微软雅黑" w:eastAsia="微软雅黑"/>
          <w:b/>
          <w:i w:val="0"/>
          <w:color w:val="2F5597"/>
          <w:sz w:val="22"/>
        </w:rPr>
        <w:t xml:space="preserve">10. </w:t>
      </w:r>
      <w:r>
        <w:rPr>
          <w:rFonts w:ascii="宋体" w:hAnsi="宋体" w:eastAsia="宋体"/>
          <w:b w:val="0"/>
          <w:i w:val="0"/>
          <w:sz w:val="24"/>
        </w:rPr>
        <w:t>无背景混沌场对真空涨落与能量来源问题的统一解释</w:t>
      </w:r>
    </w:p>
    <w:p>
      <w:pPr>
        <w:ind w:left="340" w:hanging="198"/>
      </w:pPr>
      <w:r>
        <w:rPr>
          <w:rFonts w:ascii="微软雅黑" w:hAnsi="微软雅黑" w:eastAsia="微软雅黑"/>
          <w:b/>
          <w:i w:val="0"/>
          <w:color w:val="2F5597"/>
          <w:sz w:val="22"/>
        </w:rPr>
        <w:t xml:space="preserve">11. </w:t>
      </w:r>
      <w:r>
        <w:rPr>
          <w:rFonts w:ascii="宋体" w:hAnsi="宋体" w:eastAsia="宋体"/>
          <w:b w:val="0"/>
          <w:i w:val="0"/>
          <w:sz w:val="24"/>
        </w:rPr>
        <w:t>量子力学与广义相对论作为同一混沌场的双极限理论</w:t>
      </w:r>
    </w:p>
    <w:p>
      <w:pPr>
        <w:ind w:left="340" w:hanging="198"/>
      </w:pPr>
      <w:r>
        <w:rPr>
          <w:rFonts w:ascii="微软雅黑" w:hAnsi="微软雅黑" w:eastAsia="微软雅黑"/>
          <w:b/>
          <w:i w:val="0"/>
          <w:color w:val="2F5597"/>
          <w:sz w:val="22"/>
        </w:rPr>
        <w:t xml:space="preserve">12. </w:t>
      </w:r>
      <w:r>
        <w:rPr>
          <w:rFonts w:ascii="宋体" w:hAnsi="宋体" w:eastAsia="宋体"/>
          <w:b w:val="0"/>
          <w:i w:val="0"/>
          <w:sz w:val="24"/>
        </w:rPr>
        <w:t>双几何同源：时空几何与态空间几何的统一来源</w:t>
      </w:r>
    </w:p>
    <w:p>
      <w:pPr>
        <w:ind w:left="340" w:hanging="198"/>
      </w:pPr>
      <w:r>
        <w:rPr>
          <w:rFonts w:ascii="微软雅黑" w:hAnsi="微软雅黑" w:eastAsia="微软雅黑"/>
          <w:b/>
          <w:i w:val="0"/>
          <w:color w:val="2F5597"/>
          <w:sz w:val="22"/>
        </w:rPr>
        <w:t xml:space="preserve">13. </w:t>
      </w:r>
      <w:r>
        <w:rPr>
          <w:rFonts w:ascii="宋体" w:hAnsi="宋体" w:eastAsia="宋体"/>
          <w:b w:val="0"/>
          <w:i w:val="0"/>
          <w:sz w:val="24"/>
        </w:rPr>
        <w:t>从量子到引力：统一底层对象下的方法互通</w:t>
      </w:r>
    </w:p>
    <w:p>
      <w:pPr>
        <w:ind w:left="340" w:hanging="198"/>
      </w:pPr>
      <w:r>
        <w:rPr>
          <w:rFonts w:ascii="微软雅黑" w:hAnsi="微软雅黑" w:eastAsia="微软雅黑"/>
          <w:b/>
          <w:i w:val="0"/>
          <w:color w:val="2F5597"/>
          <w:sz w:val="22"/>
        </w:rPr>
        <w:t xml:space="preserve">14. </w:t>
      </w:r>
      <w:r>
        <w:rPr>
          <w:rFonts w:ascii="宋体" w:hAnsi="宋体" w:eastAsia="宋体"/>
          <w:b w:val="0"/>
          <w:i w:val="0"/>
          <w:sz w:val="24"/>
        </w:rPr>
        <w:t>十三维有效结构的导出：4+6+3 分解与应用闭环</w:t>
      </w:r>
    </w:p>
    <w:p>
      <w:pPr>
        <w:ind w:left="340" w:hanging="198"/>
      </w:pPr>
      <w:r>
        <w:rPr>
          <w:rFonts w:ascii="微软雅黑" w:hAnsi="微软雅黑" w:eastAsia="微软雅黑"/>
          <w:b/>
          <w:i w:val="0"/>
          <w:color w:val="2F5597"/>
          <w:sz w:val="22"/>
        </w:rPr>
        <w:t xml:space="preserve">15. </w:t>
      </w:r>
      <w:r>
        <w:rPr>
          <w:rFonts w:ascii="宋体" w:hAnsi="宋体" w:eastAsia="宋体"/>
          <w:b w:val="0"/>
          <w:i w:val="0"/>
          <w:sz w:val="24"/>
        </w:rPr>
        <w:t>基元子混沌场理论总论</w:t>
      </w:r>
    </w:p>
    <w:p>
      <w:pPr>
        <w:pStyle w:val="Heading2"/>
      </w:pPr>
      <w:r>
        <w:t>3. 当前优先级重排</w:t>
      </w:r>
    </w:p>
    <w:tbl>
      <w:tblPr>
        <w:tblStyle w:val="TableGrid"/>
        <w:tblW w:type="auto" w:w="0"/>
        <w:jc w:val="center"/>
        <w:tblLayout w:type="fixed"/>
        <w:tblLook w:firstColumn="1" w:firstRow="1" w:lastColumn="0" w:lastRow="0" w:noHBand="0" w:noVBand="1" w:val="04A0"/>
      </w:tblPr>
      <w:tblGrid>
        <w:gridCol w:w="1814"/>
        <w:gridCol w:w="7257"/>
      </w:tblGrid>
      <w:tr>
        <w:trPr>
          <w:tblHeader w:val="true"/>
          <w:cantSplit/>
        </w:trPr>
        <w:tc>
          <w:tcPr>
            <w:tcW w:type="dxa" w:w="4649"/>
            <w:shd w:fill="D9E2F3"/>
            <w:tcMar>
              <w:top w:w="80" w:type="dxa"/>
              <w:start w:w="120" w:type="dxa"/>
              <w:bottom w:w="80" w:type="dxa"/>
              <w:end w:w="120" w:type="dxa"/>
            </w:tcMar>
          </w:tcPr>
          <w:p>
            <w:pPr>
              <w:jc w:val="center"/>
            </w:pPr>
            <w:r>
              <w:rPr>
                <w:rFonts w:ascii="微软雅黑" w:hAnsi="微软雅黑" w:eastAsia="微软雅黑"/>
                <w:b/>
                <w:i w:val="0"/>
                <w:color w:val="17365D"/>
                <w:sz w:val="21"/>
              </w:rPr>
              <w:t>优先级</w:t>
            </w:r>
          </w:p>
        </w:tc>
        <w:tc>
          <w:tcPr>
            <w:tcW w:type="dxa" w:w="4649"/>
            <w:shd w:fill="D9E2F3"/>
            <w:tcMar>
              <w:top w:w="80" w:type="dxa"/>
              <w:start w:w="120" w:type="dxa"/>
              <w:bottom w:w="80" w:type="dxa"/>
              <w:end w:w="120" w:type="dxa"/>
            </w:tcMar>
          </w:tcPr>
          <w:p>
            <w:pPr>
              <w:jc w:val="center"/>
            </w:pPr>
            <w:r>
              <w:rPr>
                <w:rFonts w:ascii="微软雅黑" w:hAnsi="微软雅黑" w:eastAsia="微软雅黑"/>
                <w:b/>
                <w:i w:val="0"/>
                <w:color w:val="17365D"/>
                <w:sz w:val="21"/>
              </w:rPr>
              <w:t>建议先做的内容</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第一优先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母方程 + 无背景 + 连续十维几何相的粗粒化框架</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第二优先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4+6 动力学分裂 + 内部六维复结构/凯勒条件</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第三优先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内部真空方程与丘成桐方程路线的论文化表达</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第四优先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场统一、粒子统一与三个离散内部谱方向</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第五优先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量子场景解释、贝尔场景、真空与能量来源</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第六优先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双几何同源、量子—引力双极限与方法互通</w:t>
            </w:r>
          </w:p>
        </w:tc>
      </w:tr>
      <w:tr>
        <w:trPr>
          <w:cantSplit/>
        </w:trPr>
        <w:tc>
          <w:tcPr>
            <w:tcW w:type="dxa" w:w="1814"/>
            <w:tcMar>
              <w:top w:w="80" w:type="dxa"/>
              <w:start w:w="120" w:type="dxa"/>
              <w:bottom w:w="80" w:type="dxa"/>
              <w:end w:w="120" w:type="dxa"/>
            </w:tcMar>
            <w:vAlign w:val="center"/>
          </w:tcPr>
          <w:p>
            <w:pPr>
              <w:jc w:val="center"/>
            </w:pPr>
            <w:r>
              <w:rPr>
                <w:rFonts w:ascii="宋体" w:hAnsi="宋体" w:eastAsia="宋体"/>
                <w:b w:val="0"/>
                <w:i w:val="0"/>
                <w:sz w:val="20"/>
              </w:rPr>
              <w:t>第七优先</w:t>
            </w:r>
          </w:p>
        </w:tc>
        <w:tc>
          <w:tcPr>
            <w:tcW w:type="dxa" w:w="7257"/>
            <w:tcMar>
              <w:top w:w="80" w:type="dxa"/>
              <w:start w:w="120" w:type="dxa"/>
              <w:bottom w:w="80" w:type="dxa"/>
              <w:end w:w="120" w:type="dxa"/>
            </w:tcMar>
            <w:vAlign w:val="center"/>
          </w:tcPr>
          <w:p>
            <w:pPr>
              <w:jc w:val="left"/>
            </w:pPr>
            <w:r>
              <w:rPr>
                <w:rFonts w:ascii="宋体" w:hAnsi="宋体" w:eastAsia="宋体"/>
                <w:b w:val="0"/>
                <w:i w:val="0"/>
                <w:sz w:val="20"/>
              </w:rPr>
              <w:t>十三维导出、应用反证与总论收束</w:t>
            </w:r>
          </w:p>
        </w:tc>
      </w:tr>
    </w:tbl>
    <w:p>
      <w:pPr>
        <w:pStyle w:val="Heading1"/>
        <w:pBdr>
          <w:bottom w:val="single" w:sz="8" w:space="1" w:color="B4C6E7"/>
        </w:pBdr>
      </w:pPr>
      <w:r>
        <w:t>五、三条必须坚持的学术防线</w:t>
      </w:r>
    </w:p>
    <w:p>
      <w:pPr>
        <w:ind w:firstLine="0"/>
      </w:pPr>
      <w:r>
        <w:rPr>
          <w:rFonts w:ascii="宋体" w:hAnsi="宋体" w:eastAsia="宋体"/>
          <w:b/>
          <w:i w:val="0"/>
          <w:color w:val="17365D"/>
          <w:sz w:val="24"/>
        </w:rPr>
        <w:t>第一条：把“兼容”与“已证”严格区分。</w:t>
      </w:r>
      <w:r>
        <w:rPr>
          <w:rFonts w:ascii="宋体" w:hAnsi="宋体" w:eastAsia="宋体"/>
          <w:b w:val="0"/>
          <w:i w:val="0"/>
          <w:sz w:val="24"/>
        </w:rPr>
        <w:t>凡属尚未完成的几何推导，一律写作“目标证明”“拟证明”“有望推出”，避免把研发计划写成已经完成的定理论文。</w:t>
      </w:r>
    </w:p>
    <w:p>
      <w:pPr>
        <w:ind w:firstLine="0"/>
      </w:pPr>
      <w:r>
        <w:rPr>
          <w:rFonts w:ascii="宋体" w:hAnsi="宋体" w:eastAsia="宋体"/>
          <w:b/>
          <w:i w:val="0"/>
          <w:color w:val="17365D"/>
          <w:sz w:val="24"/>
        </w:rPr>
        <w:t>第二条：把“4+6+3”写成连续推演，而不是拼接结论。</w:t>
      </w:r>
      <w:r>
        <w:rPr>
          <w:rFonts w:ascii="宋体" w:hAnsi="宋体" w:eastAsia="宋体"/>
          <w:b w:val="0"/>
          <w:i w:val="0"/>
          <w:sz w:val="24"/>
        </w:rPr>
        <w:t>先得到连续几何部分，再处理内部六维稳定性，再由内部算子谱给出离散标签，这样逻辑最稳，后续也便于分篇投稿。</w:t>
      </w:r>
    </w:p>
    <w:p>
      <w:pPr>
        <w:ind w:firstLine="0"/>
      </w:pPr>
      <w:r>
        <w:rPr>
          <w:rFonts w:ascii="宋体" w:hAnsi="宋体" w:eastAsia="宋体"/>
          <w:b/>
          <w:i w:val="0"/>
          <w:color w:val="17365D"/>
          <w:sz w:val="24"/>
        </w:rPr>
        <w:t>第三条：把丘成桐方程定位为桥梁，而不是装饰。</w:t>
      </w:r>
      <w:r>
        <w:rPr>
          <w:rFonts w:ascii="宋体" w:hAnsi="宋体" w:eastAsia="宋体"/>
          <w:b w:val="0"/>
          <w:i w:val="0"/>
          <w:sz w:val="24"/>
        </w:rPr>
        <w:t>它不是为了增加理论的高端感而附会进来，而是用来把无背景母理论、内部真空几何、费米子零模和十三维闭合真正连接起来。</w:t>
      </w:r>
    </w:p>
    <w:p>
      <w:pPr>
        <w:pStyle w:val="Heading1"/>
        <w:pBdr>
          <w:bottom w:val="single" w:sz="8" w:space="1" w:color="B4C6E7"/>
        </w:pBdr>
      </w:pPr>
      <w:r>
        <w:t>六、计划总括</w:t>
      </w:r>
    </w:p>
    <w:p>
      <w:pPr>
        <w:ind w:firstLine="420"/>
      </w:pPr>
      <w:r>
        <w:rPr>
          <w:rFonts w:ascii="宋体" w:hAnsi="宋体" w:eastAsia="宋体"/>
          <w:sz w:val="22"/>
        </w:rPr>
        <w:t>本次修订后的计划可概括为：先立无背景母理论，再推出时空与连续几何的涌现；随后完成连续十维中的 4+6 动力学分裂，把内部六维的复结构、凯勒条件、里奇平坦真空与丘成桐方程连成主线；在此基础上统一有效场、粒子、三个离散内部谱方向、量子场景、真空涨落与量子—引力双极限，最终完成十三维 4+6+3 的闭合与应用反证。</w:t>
      </w:r>
    </w:p>
    <w:sectPr w:rsidR="00FC693F" w:rsidRPr="0006063C" w:rsidSect="00034616">
      <w:headerReference w:type="default" r:id="rId9"/>
      <w:footerReference w:type="default" r:id="rId10"/>
      <w:pgSz w:w="11906" w:h="16838"/>
      <w:pgMar w:top="1247" w:right="1304" w:bottom="1134" w:left="130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i w:val="0"/>
        <w:color w:val="6B7280"/>
        <w:sz w:val="18"/>
      </w:rPr>
      <w:t>研究用途文稿｜供系列论文排期、阶段验收与总论统筹使用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b w:val="0"/>
        <w:i w:val="0"/>
        <w:color w:val="6B7280"/>
        <w:sz w:val="18"/>
      </w:rPr>
      <w:t>无背景基元子混沌场理论研究计划（修订版）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微软雅黑" w:hAnsi="微软雅黑" w:eastAsia="微软雅黑"/>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微软雅黑" w:hAnsi="微软雅黑" w:eastAsia="微软雅黑"/>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微软雅黑" w:hAnsi="微软雅黑" w:eastAsia="微软雅黑"/>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微软雅黑" w:hAnsi="微软雅黑" w:eastAsia="微软雅黑"/>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