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无背景基元子混沌场理论研究计划</w:t>
      </w:r>
    </w:p>
    <w:p>
      <w:pPr>
        <w:pStyle w:val="Subtitle"/>
        <w:jc w:val="center"/>
      </w:pPr>
      <w:r>
        <w:t>修订版（第二次扩展）：纳入标准方程回收、实验判据、拓扑序材料案例与方法论支撑链</w:t>
      </w:r>
    </w:p>
    <w:p>
      <w:pPr>
        <w:spacing w:after="200" w:line="288" w:lineRule="auto"/>
        <w:jc w:val="center"/>
      </w:pPr>
      <w:r>
        <w:rPr>
          <w:color w:val="666666"/>
          <w:sz w:val="21"/>
          <w:rFonts w:eastAsia="宋体" w:ascii="Times New Roman"/>
        </w:rPr>
        <w:t>—— 围绕无背景、场统一、量子—引力融合、几何涌现、实验可证性与十三维闭合的阶段化推进方案 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1"/>
          <w:left w:val="single" w:sz="8" w:space="0" w:color="D9E2F1"/>
          <w:bottom w:val="single" w:sz="8" w:space="0" w:color="D9E2F1"/>
          <w:right w:val="single" w:sz="8" w:space="0" w:color="D9E2F1"/>
          <w:insideH w:val="single" w:sz="8" w:space="0" w:color="D9E2F1"/>
          <w:insideV w:val="single" w:sz="8" w:space="0" w:color="D9E2F1"/>
        </w:tblBorders>
      </w:tblPr>
      <w:tblGrid>
        <w:gridCol w:w="9298"/>
      </w:tblGrid>
      <w:tr>
        <w:tc>
          <w:tcPr>
            <w:tcW w:type="dxa" w:w="8957"/>
            <w:shd w:fill="EEF3F9"/>
          </w:tcPr>
          <w:p>
            <w:pPr>
              <w:spacing w:after="0" w:line="300" w:lineRule="auto"/>
            </w:pPr>
            <w:r>
              <w:rPr>
                <w:color w:val="4A4A4A"/>
                <w:sz w:val="21"/>
                <w:rFonts w:eastAsia="宋体" w:ascii="Times New Roman"/>
              </w:rPr>
              <w:t>修订原则：本版除保留“内部六维稳定真空几何—凯勒结构—丘成桐方程路线”外，进一步把“标准理论必须可回收”“实验判据必须可落地”“方法论支撑链必须可交代”纳入主线。计划中将麦克斯韦方程、薛定谔方程、相对论结构、不相容原理、拓扑序材料案例、霍夫特元胞自动机、希尔伯特第六问题，以及中国科大等机构关于量子信息与量子混沌的相关研究，统一归入“硬约束—应用验证—外部比较”三层框架。</w:t>
            </w:r>
          </w:p>
        </w:tc>
      </w:tr>
    </w:tbl>
    <w:p/>
    <w:p>
      <w:pPr>
        <w:pStyle w:val="Heading1"/>
      </w:pPr>
      <w:r>
        <w:t>一、核心判断与本次扩展的总方向</w:t>
      </w:r>
    </w:p>
    <w:p>
      <w:pPr>
        <w:spacing w:after="120" w:line="324" w:lineRule="auto"/>
      </w:pPr>
      <w:r>
        <w:rPr>
          <w:sz w:val="22"/>
          <w:rFonts w:eastAsia="宋体" w:ascii="Times New Roman"/>
        </w:rPr>
        <w:t>我认可把内部六维稳定几何、复结构、凯勒条件与丘成桐方程纳入《无背景基元子混沌场理论》主线的做法；但在当前阶段，研发计划仍应坚持“兼容性、可推导性、待严格证明”三层表述，不宜把尚未完成的推演直接写成已经闭合的定理链。</w:t>
      </w:r>
    </w:p>
    <w:p>
      <w:pPr>
        <w:spacing w:after="120" w:line="324" w:lineRule="auto"/>
      </w:pPr>
      <w:r>
        <w:rPr>
          <w:sz w:val="22"/>
          <w:rFonts w:eastAsia="宋体" w:ascii="Times New Roman"/>
        </w:rPr>
        <w:t>本次扩展后的计划，不再只追求“能否解释量子力学与广义相对论”，而是进一步提出三个更硬的要求：第一，同一母理论必须在适当极限下回收到主流物理中的关键方程与约束；第二，理论必须给出实验可区分的观测判据与可操作的应用案例；第三，理论必须说明自己在现代物理方法论中的位置，与既有确定性底层方案、公理化方案和量子信息—量子混沌研究形成比较关系。</w:t>
      </w:r>
    </w:p>
    <w:p>
      <w:pPr>
        <w:pStyle w:val="Heading2"/>
      </w:pPr>
      <w:r>
        <w:t>1. 本轮扩展后最关键的结构变化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7C6E1"/>
          <w:left w:val="single" w:sz="8" w:space="0" w:color="B7C6E1"/>
          <w:bottom w:val="single" w:sz="8" w:space="0" w:color="B7C6E1"/>
          <w:right w:val="single" w:sz="8" w:space="0" w:color="B7C6E1"/>
          <w:insideH w:val="single" w:sz="8" w:space="0" w:color="B7C6E1"/>
          <w:insideV w:val="single" w:sz="8" w:space="0" w:color="B7C6E1"/>
        </w:tblBorders>
      </w:tblPr>
      <w:tblGrid>
        <w:gridCol w:w="3099"/>
        <w:gridCol w:w="3099"/>
        <w:gridCol w:w="3099"/>
      </w:tblGrid>
      <w:tr>
        <w:tc>
          <w:tcPr>
            <w:tcW w:type="dxa" w:w="1701"/>
            <w:vAlign w:val="center"/>
            <w:shd w:fill="DCE6F2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20"/>
                <w:rFonts w:eastAsia="宋体" w:ascii="Times New Roman"/>
              </w:rPr>
              <w:t>项目</w:t>
            </w:r>
          </w:p>
        </w:tc>
        <w:tc>
          <w:tcPr>
            <w:tcW w:type="dxa" w:w="3402"/>
            <w:vAlign w:val="center"/>
            <w:shd w:fill="DCE6F2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20"/>
                <w:rFonts w:eastAsia="宋体" w:ascii="Times New Roman"/>
              </w:rPr>
              <w:t>上一版重心</w:t>
            </w:r>
          </w:p>
        </w:tc>
        <w:tc>
          <w:tcPr>
            <w:tcW w:type="dxa" w:w="3969"/>
            <w:vAlign w:val="center"/>
            <w:shd w:fill="DCE6F2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20"/>
                <w:rFonts w:eastAsia="宋体" w:ascii="Times New Roman"/>
              </w:rPr>
              <w:t>本轮扩展后重心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20"/>
                <w:rFonts w:eastAsia="宋体" w:ascii="Times New Roman"/>
              </w:rPr>
              <w:t>核心证明任务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20"/>
                <w:rFonts w:eastAsia="宋体" w:ascii="Times New Roman"/>
              </w:rPr>
              <w:t>无背景 + 4+6 + 丘成桐方程路线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20"/>
                <w:rFonts w:eastAsia="宋体" w:ascii="Times New Roman"/>
              </w:rPr>
              <w:t>无背景 + 标准方程回收 + 4+6 + 丘成桐方程路线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20"/>
                <w:rFonts w:eastAsia="宋体" w:ascii="Times New Roman"/>
              </w:rPr>
              <w:t>物理约束类型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20"/>
                <w:rFonts w:eastAsia="宋体" w:ascii="Times New Roman"/>
              </w:rPr>
              <w:t>几何、粒子、真空与十三维闭合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20"/>
                <w:rFonts w:eastAsia="宋体" w:ascii="Times New Roman"/>
              </w:rPr>
              <w:t>几何、粒子、真空、标准方程、统计原理与实验可证性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20"/>
                <w:rFonts w:eastAsia="宋体" w:ascii="Times New Roman"/>
              </w:rPr>
              <w:t>应用落点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20"/>
                <w:rFonts w:eastAsia="宋体" w:ascii="Times New Roman"/>
              </w:rPr>
              <w:t>主要强调十三维闭合与内部谱方向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20"/>
                <w:rFonts w:eastAsia="宋体" w:ascii="Times New Roman"/>
              </w:rPr>
              <w:t>新增拓扑序材料、量子信息—量子混沌与实验判据设计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20"/>
                <w:rFonts w:eastAsia="宋体" w:ascii="Times New Roman"/>
              </w:rPr>
              <w:t>方法论支撑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20"/>
                <w:rFonts w:eastAsia="宋体" w:ascii="Times New Roman"/>
              </w:rPr>
              <w:t>以内部几何和量子—引力融合为主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20"/>
                <w:rFonts w:eastAsia="宋体" w:ascii="Times New Roman"/>
              </w:rPr>
              <w:t>补入霍夫特元胞自动机、希尔伯特第六问题与外部研究比较</w:t>
            </w:r>
          </w:p>
        </w:tc>
      </w:tr>
    </w:tbl>
    <w:p/>
    <w:p>
      <w:pPr>
        <w:pStyle w:val="Heading1"/>
      </w:pPr>
      <w:r>
        <w:t>二、扩展后的总体目标与总路线</w:t>
      </w:r>
    </w:p>
    <w:p>
      <w:pPr>
        <w:spacing w:after="120" w:line="324" w:lineRule="auto"/>
      </w:pPr>
      <w:r>
        <w:rPr>
          <w:sz w:val="22"/>
          <w:rFonts w:eastAsia="宋体" w:ascii="Times New Roman"/>
        </w:rPr>
        <w:t>总目标：建立一套以无背景基元子混沌场为唯一底层本体的统一理论框架，系统解释有效时空、内部紧致几何、各种有效场、粒子谱分化、量子力学核心场景、真空涨落、量子—引力关系，以及十三维 4+6+3 的闭合结构；同时要求该框架在适当极限下能够回收麦克斯韦方程、薛定谔方程、相对论基本结构和与费米统计相关的不相容约束，并给出实验可检验的应用方案。</w:t>
      </w:r>
    </w:p>
    <w:p>
      <w:pPr>
        <w:spacing w:after="120" w:line="324" w:lineRule="auto"/>
      </w:pPr>
      <w:r>
        <w:rPr>
          <w:sz w:val="22"/>
          <w:rFonts w:eastAsia="宋体" w:ascii="Times New Roman"/>
        </w:rPr>
        <w:t>总路线：先立无背景母理论与公理化边界，再处理标准理论回收和动力学硬约束；随后推进连续十维中的 4+6 动力学分裂，并把内部六维真空稳定性写成“相位流—复结构—凯勒条件—里奇平坦—复蒙日—安培方程”的连续路线；在此基础上再统一场、粒子、费米统计、内部离散谱方向与量子场景解释，最后完成实验判据、拓扑序材料案例、量子—引力双极限、方法互通与十三维闭合。</w:t>
      </w:r>
    </w:p>
    <w:p>
      <w:pPr>
        <w:pStyle w:val="Heading2"/>
      </w:pPr>
      <w:r>
        <w:t>2. 现阶段最稳妥的学术表述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计划中不直接声称“丘成桐方程已经从混沌场严格推出”，而是将其定义为内部六维真空几何相的关键待证命题。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计划中不直接声称“麦克斯韦方程、薛定谔方程和相对论已经全部由母方程严格推出”，而是将其列为必须完成的低能或弱耦合极限回收任务。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计划中不把霍夫特元胞自动机、希尔伯特第六问题和中国科大等机构的量子信息—量子混沌研究写成对本理论的直接证明，而是把它们作为方法论支撑、旁证材料和比较对象。</w:t>
      </w:r>
    </w:p>
    <w:p>
      <w:pPr>
        <w:pStyle w:val="Heading1"/>
      </w:pPr>
      <w:r>
        <w:t>三、新增纳入的硬约束、应用案例与支撑链条</w:t>
      </w:r>
    </w:p>
    <w:p>
      <w:pPr>
        <w:spacing w:after="120" w:line="324" w:lineRule="auto"/>
      </w:pPr>
      <w:r>
        <w:rPr>
          <w:sz w:val="22"/>
          <w:rFonts w:eastAsia="宋体" w:ascii="Times New Roman"/>
        </w:rPr>
        <w:t>这一部分是本轮修订新增的核心内容。它的作用不是扩大题目，而是防止理论长期停留在“能解释很多现象”却不能接受主流检验的状态。凡是主流统一理论一定会被追问的内容，本计划都提前纳入。</w:t>
      </w:r>
    </w:p>
    <w:p>
      <w:pPr>
        <w:pStyle w:val="Heading2"/>
      </w:pPr>
      <w:r>
        <w:t>1. 必须正面回应的模块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7C6E1"/>
          <w:left w:val="single" w:sz="8" w:space="0" w:color="B7C6E1"/>
          <w:bottom w:val="single" w:sz="8" w:space="0" w:color="B7C6E1"/>
          <w:right w:val="single" w:sz="8" w:space="0" w:color="B7C6E1"/>
          <w:insideH w:val="single" w:sz="8" w:space="0" w:color="B7C6E1"/>
          <w:insideV w:val="single" w:sz="8" w:space="0" w:color="B7C6E1"/>
        </w:tblBorders>
      </w:tblPr>
      <w:tblGrid>
        <w:gridCol w:w="3099"/>
        <w:gridCol w:w="3099"/>
        <w:gridCol w:w="3099"/>
      </w:tblGrid>
      <w:tr>
        <w:tc>
          <w:tcPr>
            <w:tcW w:type="dxa" w:w="1814"/>
            <w:vAlign w:val="center"/>
            <w:shd w:fill="DCE6F2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9"/>
                <w:rFonts w:eastAsia="宋体" w:ascii="Times New Roman"/>
              </w:rPr>
              <w:t>模块</w:t>
            </w:r>
          </w:p>
        </w:tc>
        <w:tc>
          <w:tcPr>
            <w:tcW w:type="dxa" w:w="4819"/>
            <w:vAlign w:val="center"/>
            <w:shd w:fill="DCE6F2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9"/>
                <w:rFonts w:eastAsia="宋体" w:ascii="Times New Roman"/>
              </w:rPr>
              <w:t>在本计划中的作用</w:t>
            </w:r>
          </w:p>
        </w:tc>
        <w:tc>
          <w:tcPr>
            <w:tcW w:type="dxa" w:w="2154"/>
            <w:vAlign w:val="center"/>
            <w:shd w:fill="DCE6F2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9"/>
                <w:rFonts w:eastAsia="宋体" w:ascii="Times New Roman"/>
              </w:rPr>
              <w:t>主要落点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9"/>
                <w:rFonts w:eastAsia="宋体" w:ascii="Times New Roman"/>
              </w:rPr>
              <w:t>麦克斯韦方程</w:t>
            </w:r>
          </w:p>
        </w:tc>
        <w:tc>
          <w:tcPr>
            <w:tcW w:type="dxa" w:w="4819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19"/>
                <w:rFonts w:eastAsia="宋体" w:ascii="Times New Roman"/>
              </w:rPr>
              <w:t>作为有效矢量场与电磁传播极限的回收目标，检验场统一是否真正落到主流物理。</w:t>
            </w:r>
          </w:p>
        </w:tc>
        <w:tc>
          <w:tcPr>
            <w:tcW w:type="dxa" w:w="215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9"/>
                <w:rFonts w:eastAsia="宋体" w:ascii="Times New Roman"/>
              </w:rPr>
              <w:t>第二阶段、第五阶段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9"/>
                <w:rFonts w:eastAsia="宋体" w:ascii="Times New Roman"/>
              </w:rPr>
              <w:t>薛定谔方程</w:t>
            </w:r>
          </w:p>
        </w:tc>
        <w:tc>
          <w:tcPr>
            <w:tcW w:type="dxa" w:w="4819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19"/>
                <w:rFonts w:eastAsia="宋体" w:ascii="Times New Roman"/>
              </w:rPr>
              <w:t>作为单粒子/单模弱非线性极限下的有效演化方程，检验量子相位—振幅包络解释是否闭合。</w:t>
            </w:r>
          </w:p>
        </w:tc>
        <w:tc>
          <w:tcPr>
            <w:tcW w:type="dxa" w:w="215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9"/>
                <w:rFonts w:eastAsia="宋体" w:ascii="Times New Roman"/>
              </w:rPr>
              <w:t>第二阶段、第六阶段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9"/>
                <w:rFonts w:eastAsia="宋体" w:ascii="Times New Roman"/>
              </w:rPr>
              <w:t>相对论基本结构</w:t>
            </w:r>
          </w:p>
        </w:tc>
        <w:tc>
          <w:tcPr>
            <w:tcW w:type="dxa" w:w="4819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19"/>
                <w:rFonts w:eastAsia="宋体" w:ascii="Times New Roman"/>
              </w:rPr>
              <w:t>作为因果锥、洛伦兹型色散关系与宏观几何相一致性的硬约束，检验无背景理论能否长出相对论时空。</w:t>
            </w:r>
          </w:p>
        </w:tc>
        <w:tc>
          <w:tcPr>
            <w:tcW w:type="dxa" w:w="215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9"/>
                <w:rFonts w:eastAsia="宋体" w:ascii="Times New Roman"/>
              </w:rPr>
              <w:t>第二阶段、第八阶段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9"/>
                <w:rFonts w:eastAsia="宋体" w:ascii="Times New Roman"/>
              </w:rPr>
              <w:t>不相容原理</w:t>
            </w:r>
          </w:p>
        </w:tc>
        <w:tc>
          <w:tcPr>
            <w:tcW w:type="dxa" w:w="4819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19"/>
                <w:rFonts w:eastAsia="宋体" w:ascii="Times New Roman"/>
              </w:rPr>
              <w:t>作为费米统计、零模构型、反对称性或拓扑保护机制的必答题，检验粒子统一是否能解释费米子差异。</w:t>
            </w:r>
          </w:p>
        </w:tc>
        <w:tc>
          <w:tcPr>
            <w:tcW w:type="dxa" w:w="215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9"/>
                <w:rFonts w:eastAsia="宋体" w:ascii="Times New Roman"/>
              </w:rPr>
              <w:t>第五阶段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9"/>
                <w:rFonts w:eastAsia="宋体" w:ascii="Times New Roman"/>
              </w:rPr>
              <w:t>拓扑序材料案例</w:t>
            </w:r>
          </w:p>
        </w:tc>
        <w:tc>
          <w:tcPr>
            <w:tcW w:type="dxa" w:w="4819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19"/>
                <w:rFonts w:eastAsia="宋体" w:ascii="Times New Roman"/>
              </w:rPr>
              <w:t>作为理论应用落点，用于把内部拓扑、边界模、退相干与实验可测量信号接到材料体系。</w:t>
            </w:r>
          </w:p>
        </w:tc>
        <w:tc>
          <w:tcPr>
            <w:tcW w:type="dxa" w:w="215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9"/>
                <w:rFonts w:eastAsia="宋体" w:ascii="Times New Roman"/>
              </w:rPr>
              <w:t>第七阶段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9"/>
                <w:rFonts w:eastAsia="宋体" w:ascii="Times New Roman"/>
              </w:rPr>
              <w:t>实验判据设计</w:t>
            </w:r>
          </w:p>
        </w:tc>
        <w:tc>
          <w:tcPr>
            <w:tcW w:type="dxa" w:w="4819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19"/>
                <w:rFonts w:eastAsia="宋体" w:ascii="Times New Roman"/>
              </w:rPr>
              <w:t>把可观测量、区分性预测和测量通道提前写入计划，避免“只讲哲学、不讲实验”。</w:t>
            </w:r>
          </w:p>
        </w:tc>
        <w:tc>
          <w:tcPr>
            <w:tcW w:type="dxa" w:w="215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9"/>
                <w:rFonts w:eastAsia="宋体" w:ascii="Times New Roman"/>
              </w:rPr>
              <w:t>第七阶段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9"/>
                <w:rFonts w:eastAsia="宋体" w:ascii="Times New Roman"/>
              </w:rPr>
              <w:t>中国科大等量子信息/量子混沌研究</w:t>
            </w:r>
          </w:p>
        </w:tc>
        <w:tc>
          <w:tcPr>
            <w:tcW w:type="dxa" w:w="4819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19"/>
                <w:rFonts w:eastAsia="宋体" w:ascii="Times New Roman"/>
              </w:rPr>
              <w:t>作为外部旁证与比较材料，帮助建立理论与前沿实验、量子模拟和混沌控制研究的对接面。</w:t>
            </w:r>
          </w:p>
        </w:tc>
        <w:tc>
          <w:tcPr>
            <w:tcW w:type="dxa" w:w="215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9"/>
                <w:rFonts w:eastAsia="宋体" w:ascii="Times New Roman"/>
              </w:rPr>
              <w:t>第七阶段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9"/>
                <w:rFonts w:eastAsia="宋体" w:ascii="Times New Roman"/>
              </w:rPr>
              <w:t>霍夫特元胞自动机</w:t>
            </w:r>
          </w:p>
        </w:tc>
        <w:tc>
          <w:tcPr>
            <w:tcW w:type="dxa" w:w="4819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19"/>
                <w:rFonts w:eastAsia="宋体" w:ascii="Times New Roman"/>
              </w:rPr>
              <w:t>作为“确定性底层—量子有效涌现”路线的关键比较对象，用于说明本理论并非无源突发。</w:t>
            </w:r>
          </w:p>
        </w:tc>
        <w:tc>
          <w:tcPr>
            <w:tcW w:type="dxa" w:w="215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9"/>
                <w:rFonts w:eastAsia="宋体" w:ascii="Times New Roman"/>
              </w:rPr>
              <w:t>第一阶段、第八阶段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9"/>
                <w:rFonts w:eastAsia="宋体" w:ascii="Times New Roman"/>
              </w:rPr>
              <w:t>希尔伯特第六问题</w:t>
            </w:r>
          </w:p>
        </w:tc>
        <w:tc>
          <w:tcPr>
            <w:tcW w:type="dxa" w:w="4819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19"/>
                <w:rFonts w:eastAsia="宋体" w:ascii="Times New Roman"/>
              </w:rPr>
              <w:t>作为公理化、从微观规则到统计/连续理论桥梁的纲领性目标，用于提升母理论表述的严密性。</w:t>
            </w:r>
          </w:p>
        </w:tc>
        <w:tc>
          <w:tcPr>
            <w:tcW w:type="dxa" w:w="215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9"/>
                <w:rFonts w:eastAsia="宋体" w:ascii="Times New Roman"/>
              </w:rPr>
              <w:t>第一阶段</w:t>
            </w:r>
          </w:p>
        </w:tc>
      </w:tr>
    </w:tbl>
    <w:p/>
    <w:p>
      <w:pPr>
        <w:pStyle w:val="Heading2"/>
      </w:pPr>
      <w:r>
        <w:t>2. 三条补强原则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凡新增模块都必须落到具体阶段、具体论文题目和具体验收点，不能只以名词形式挂靠。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凡外部研究都只作为比较与旁证，不替代理论内部推导；旁证越多，越说明路线值得追，但不能充当证明本身。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凡应用案例都必须能给出观测量、材料平台、实验窗口和可区分预测，尤其要避免“任何结果都能解释”的空泛表述。</w:t>
      </w:r>
    </w:p>
    <w:p>
      <w:pPr>
        <w:pStyle w:val="Heading1"/>
      </w:pPr>
      <w:r>
        <w:t>四、扩展后的阶段划分与执行任务</w:t>
      </w:r>
    </w:p>
    <w:p>
      <w:pPr>
        <w:pStyle w:val="Heading2"/>
      </w:pPr>
      <w:r>
        <w:t>第一阶段：母理论、无背景与公理化地基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统一术语，正式采用“无背景基元子混沌场理论（BICFT）”作为总称；“基础混沌场”仅保留为口语说明。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写出母方程或母作用量框架，至少满足非线性、传播性、局域化、稳定结构生成以及多尺度粗粒化五项要求。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建立混沌性判据，如多吸引子、强模态耦合、初值敏感、长时谱混合与正 Lyapunov 指数等。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完成“无背景”论证：不预设固定时空背景，而由稳定凝聚态与微扰传播导出有效几何、因果、距离与维数。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把霍夫特元胞自动机纳入比较框架，讨论“确定性底层—量子有效涌现”与本理论的异同。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将希尔伯特第六问题转写为本计划的公理化要求：明确对象、可观测量、极限关系和从微观规则到连续理论的桥梁。</w:t>
      </w:r>
    </w:p>
    <w:p>
      <w:pPr>
        <w:pStyle w:val="Heading2"/>
      </w:pPr>
      <w:r>
        <w:t>第二阶段：标准方程回收与动力学硬约束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建立麦克斯韦方程的回收路线，把电磁传播写成母场在弱耦合、长波极限下的有效矢量模。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建立薛定谔方程的回收路线，把单粒子波函数写成混沌场局域激发在观测层上的相位—振幅包络极限。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建立相对论运动学与洛伦兹型色散关系的回收路线，明确因果锥、传播速度上界和宏观时空结构之间的关系。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把“不相容原理是否能够由费米零模、反对称结构或拓扑保护机制推出”列为后续阶段的硬约束。</w:t>
      </w:r>
    </w:p>
    <w:p>
      <w:pPr>
        <w:pStyle w:val="Heading2"/>
      </w:pPr>
      <w:r>
        <w:t>第三阶段：连续十维几何相与 4+6 动力学分裂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在双极限或粗粒化层面获得连续几何有效作用量，并明确区分连续几何部分与离散谱部分。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研究连续十维有效几何的稳定解族，论证平庸单相为何不足以支撑丰富物理。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建立 4 维外部时空与 6 维内部紧致几何的动力学分裂路线，把“4+6”写成待推出的涌现结果而非先验设定。</w:t>
      </w:r>
    </w:p>
    <w:p>
      <w:pPr>
        <w:pStyle w:val="Heading2"/>
      </w:pPr>
      <w:r>
        <w:t>第四阶段：内部六维复结构、凯勒条件与丘成桐方程路线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研究底层混沌场相位流在内部空间上的投影机制，明确其如何诱导复结构候选。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在复结构存在的基础上，进一步建立凯勒形式与凯勒度量的出现条件，并说明其与稳定旋量、零模和内部一致性之间的关系。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从内部六维真空稳定性出发，把最低阶真空条件写成里奇平坦约束，并将其转化为复蒙日—安培方程。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把“丘成桐方程”定位为内部真空几何相的关键方程，把其可解性与解空间性质定位为后续论文的攻关核心。</w:t>
      </w:r>
    </w:p>
    <w:p>
      <w:pPr>
        <w:pStyle w:val="Heading2"/>
      </w:pPr>
      <w:r>
        <w:t>第五阶段：场统一、粒子统一、费米统计与三个离散内部谱方向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在背景态附近对母场展开，导出标量模、矢量模、张量模等有效自由度，证明各种有效场同源。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把粒子定义为局域稳定构型，如孤子、拓扑缺陷、束缚模或稳定吸引子。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把玻色子解释为传播模、相位模和能量传输模，把费米子解释为更强局域化的零模或拓扑保护态。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正面处理不相容原理：说明其与反对称结构、零模占据、内部谱标签或拓扑保护之间的关系。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引入三个彼此对易的内部算子，以公共本征值标记三个离散谱方向，为 4+6+3 中的“3”提供统一来源。</w:t>
      </w:r>
    </w:p>
    <w:p>
      <w:pPr>
        <w:pStyle w:val="Heading2"/>
      </w:pPr>
      <w:r>
        <w:t>第六阶段：量子力学场景、贝尔不等式与真空问题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将波函数解释为混沌场局域激发在观测层上的有效相位—振幅包络。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用“局域稳定核 + 扩展传播包络”的双层图景解释波粒二象性、叠加、不确定性与测量。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将隧穿、纠缠与量子化分别解释为尾模重构、整体态局域投影和稳定模态离散筛选。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将真空重写为无背景混沌场的基态组织形式，将真空涨落写成内部扰动、模态重排与结构能显化。</w:t>
      </w:r>
    </w:p>
    <w:p>
      <w:pPr>
        <w:pStyle w:val="Heading2"/>
      </w:pPr>
      <w:r>
        <w:t>第七阶段：实验判据、拓扑序材料案例与外部佐证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围绕拓扑序材料、边界模、稳健相干与拓扑缺陷响应，建立可测量的应用案例。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给出实验判据：至少包括候选可观测量、参数窗口、对照量和与其他理论的可区分预测。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整理中国科大等机构关于量子信息、量子混沌、量子模拟与复杂量子系统控制的相关研究，作为比较与佐证材料。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建立“理论—可观测量—实验平台—材料案例”的闭环，防止研发计划停留在纯概念层面。</w:t>
      </w:r>
    </w:p>
    <w:p>
      <w:pPr>
        <w:pStyle w:val="Heading2"/>
      </w:pPr>
      <w:r>
        <w:t>第八阶段：量子—引力双极限、双几何同源、方法互通与十三维闭合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从微观涨落导出复振幅、态空间与有效量子演化；从宏观组织导出度量、曲率和几何响应。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把广义相对论中的外部时空几何与量子力学中的内部态空间几何，统一为同一底层混沌场的不同层级涌现。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系统梳理传播子、格林函数、振荡积分、渐近展开、分布极限、模态分解与有效作用量等工具的同源性。</w:t>
      </w:r>
    </w:p>
    <w:p>
      <w:pPr>
        <w:spacing w:after="80" w:line="324" w:lineRule="auto"/>
      </w:pPr>
      <w:r>
        <w:rPr>
          <w:sz w:val="22"/>
          <w:rFonts w:eastAsia="宋体" w:ascii="Times New Roman"/>
        </w:rPr>
        <w:t>• 在连续 4+6 的基础上接入三个离散内部谱方向，完成 4+6+3 的有效结构闭合，并形成总论收束。</w:t>
      </w:r>
    </w:p>
    <w:p>
      <w:pPr>
        <w:pStyle w:val="Heading1"/>
      </w:pPr>
      <w:r>
        <w:t>五、阶段成果、论文序列与当前优先级</w:t>
      </w:r>
    </w:p>
    <w:p>
      <w:pPr>
        <w:pStyle w:val="Heading2"/>
      </w:pPr>
      <w:r>
        <w:t>1. 建议的阶段产出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7C6E1"/>
          <w:left w:val="single" w:sz="8" w:space="0" w:color="B7C6E1"/>
          <w:bottom w:val="single" w:sz="8" w:space="0" w:color="B7C6E1"/>
          <w:right w:val="single" w:sz="8" w:space="0" w:color="B7C6E1"/>
          <w:insideH w:val="single" w:sz="8" w:space="0" w:color="B7C6E1"/>
          <w:insideV w:val="single" w:sz="8" w:space="0" w:color="B7C6E1"/>
        </w:tblBorders>
      </w:tblPr>
      <w:tblGrid>
        <w:gridCol w:w="3099"/>
        <w:gridCol w:w="3099"/>
        <w:gridCol w:w="3099"/>
      </w:tblGrid>
      <w:tr>
        <w:tc>
          <w:tcPr>
            <w:tcW w:type="dxa" w:w="1587"/>
            <w:vAlign w:val="center"/>
            <w:shd w:fill="DCE6F2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  <w:rFonts w:eastAsia="宋体" w:ascii="Times New Roman"/>
              </w:rPr>
              <w:t>阶段组</w:t>
            </w:r>
          </w:p>
        </w:tc>
        <w:tc>
          <w:tcPr>
            <w:tcW w:type="dxa" w:w="4932"/>
            <w:vAlign w:val="center"/>
            <w:shd w:fill="DCE6F2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  <w:rFonts w:eastAsia="宋体" w:ascii="Times New Roman"/>
              </w:rPr>
              <w:t>建议产出文稿</w:t>
            </w:r>
          </w:p>
        </w:tc>
        <w:tc>
          <w:tcPr>
            <w:tcW w:type="dxa" w:w="2324"/>
            <w:vAlign w:val="center"/>
            <w:shd w:fill="DCE6F2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  <w:rFonts w:eastAsia="宋体" w:ascii="Times New Roman"/>
              </w:rPr>
              <w:t>验收重点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8"/>
                <w:rFonts w:eastAsia="宋体" w:ascii="Times New Roman"/>
              </w:rPr>
              <w:t>第一阶段</w:t>
            </w:r>
          </w:p>
        </w:tc>
        <w:tc>
          <w:tcPr>
            <w:tcW w:type="dxa" w:w="4932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18"/>
                <w:rFonts w:eastAsia="宋体" w:ascii="Times New Roman"/>
              </w:rPr>
              <w:t>《无背景基元子混沌场的基本公设、母方程与公理化边界》</w:t>
              <w:br/>
              <w:t>《时空背景作为混沌场宏观几何相的涌现证明》</w:t>
            </w:r>
          </w:p>
        </w:tc>
        <w:tc>
          <w:tcPr>
            <w:tcW w:type="dxa" w:w="232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8"/>
                <w:rFonts w:eastAsia="宋体" w:ascii="Times New Roman"/>
              </w:rPr>
              <w:t>母方程是否具备统一承载能力；无背景论证与公理化边界是否闭合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8"/>
                <w:rFonts w:eastAsia="宋体" w:ascii="Times New Roman"/>
              </w:rPr>
              <w:t>第二阶段</w:t>
            </w:r>
          </w:p>
        </w:tc>
        <w:tc>
          <w:tcPr>
            <w:tcW w:type="dxa" w:w="4932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18"/>
                <w:rFonts w:eastAsia="宋体" w:ascii="Times New Roman"/>
              </w:rPr>
              <w:t>《麦克斯韦方程、薛定谔方程与相对论结构的统一回收路线》</w:t>
            </w:r>
          </w:p>
        </w:tc>
        <w:tc>
          <w:tcPr>
            <w:tcW w:type="dxa" w:w="232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8"/>
                <w:rFonts w:eastAsia="宋体" w:ascii="Times New Roman"/>
              </w:rPr>
              <w:t>标准方程是否被写成明确的极限回收任务，而非口头类比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8"/>
                <w:rFonts w:eastAsia="宋体" w:ascii="Times New Roman"/>
              </w:rPr>
              <w:t>第三—四阶段</w:t>
            </w:r>
          </w:p>
        </w:tc>
        <w:tc>
          <w:tcPr>
            <w:tcW w:type="dxa" w:w="4932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18"/>
                <w:rFonts w:eastAsia="宋体" w:ascii="Times New Roman"/>
              </w:rPr>
              <w:t>《连续十维几何相与 4+6 动力学分裂》</w:t>
              <w:br/>
              <w:t>《内部六维凯勒几何与丘成桐方程的动力学涌现路线》</w:t>
            </w:r>
          </w:p>
        </w:tc>
        <w:tc>
          <w:tcPr>
            <w:tcW w:type="dxa" w:w="232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8"/>
                <w:rFonts w:eastAsia="宋体" w:ascii="Times New Roman"/>
              </w:rPr>
              <w:t>是否给出从相位流到复结构、凯勒条件与真空方程的清晰链条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8"/>
                <w:rFonts w:eastAsia="宋体" w:ascii="Times New Roman"/>
              </w:rPr>
              <w:t>第五阶段</w:t>
            </w:r>
          </w:p>
        </w:tc>
        <w:tc>
          <w:tcPr>
            <w:tcW w:type="dxa" w:w="4932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18"/>
                <w:rFonts w:eastAsia="宋体" w:ascii="Times New Roman"/>
              </w:rPr>
              <w:t>《从单一混沌场到有效场统一》</w:t>
              <w:br/>
              <w:t>《粒子、费米统计与不相容原理的混沌场来源》</w:t>
              <w:br/>
              <w:t>《三个离散内部谱方向与粒子谱标签》</w:t>
            </w:r>
          </w:p>
        </w:tc>
        <w:tc>
          <w:tcPr>
            <w:tcW w:type="dxa" w:w="232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8"/>
                <w:rFonts w:eastAsia="宋体" w:ascii="Times New Roman"/>
              </w:rPr>
              <w:t>场统一、粒子统一与费米统计是否能接到 4+6+3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8"/>
                <w:rFonts w:eastAsia="宋体" w:ascii="Times New Roman"/>
              </w:rPr>
              <w:t>第六阶段</w:t>
            </w:r>
          </w:p>
        </w:tc>
        <w:tc>
          <w:tcPr>
            <w:tcW w:type="dxa" w:w="4932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18"/>
                <w:rFonts w:eastAsia="宋体" w:ascii="Times New Roman"/>
              </w:rPr>
              <w:t>《混沌场对量子力学物理场景的统一解释》</w:t>
              <w:br/>
              <w:t>《贝尔不等式场景与纠缠关联的混沌场解释》</w:t>
              <w:br/>
              <w:t>《真空涨落与能量来源问题的混沌场重写》</w:t>
            </w:r>
          </w:p>
        </w:tc>
        <w:tc>
          <w:tcPr>
            <w:tcW w:type="dxa" w:w="232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8"/>
                <w:rFonts w:eastAsia="宋体" w:ascii="Times New Roman"/>
              </w:rPr>
              <w:t>量子场景解释是否形成一套统一语言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8"/>
                <w:rFonts w:eastAsia="宋体" w:ascii="Times New Roman"/>
              </w:rPr>
              <w:t>第七—八阶段</w:t>
            </w:r>
          </w:p>
        </w:tc>
        <w:tc>
          <w:tcPr>
            <w:tcW w:type="dxa" w:w="4932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18"/>
                <w:rFonts w:eastAsia="宋体" w:ascii="Times New Roman"/>
              </w:rPr>
              <w:t>《拓扑序材料中的混沌场应用判据与实验验证路线》</w:t>
              <w:br/>
              <w:t>《量子信息—量子混沌研究与混沌场理论的比较支撑》</w:t>
              <w:br/>
              <w:t>《量子力学与广义相对论作为同一混沌场的双极限理论》</w:t>
              <w:br/>
              <w:t>《双几何同源、方法互通与十三维闭合》</w:t>
            </w:r>
          </w:p>
        </w:tc>
        <w:tc>
          <w:tcPr>
            <w:tcW w:type="dxa" w:w="232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18"/>
                <w:rFonts w:eastAsia="宋体" w:ascii="Times New Roman"/>
              </w:rPr>
              <w:t>是否形成“理论—可观测量—实验平台”的闭环，并完成双极限与十三维闭环</w:t>
            </w:r>
          </w:p>
        </w:tc>
      </w:tr>
    </w:tbl>
    <w:p/>
    <w:p>
      <w:pPr>
        <w:pStyle w:val="Heading2"/>
      </w:pPr>
      <w:r>
        <w:t>2. 扩展后的推荐写作顺序</w:t>
      </w:r>
    </w:p>
    <w:p>
      <w:pPr>
        <w:spacing w:after="40" w:line="283" w:lineRule="auto"/>
      </w:pPr>
      <w:r>
        <w:rPr>
          <w:sz w:val="22"/>
          <w:rFonts w:eastAsia="宋体" w:ascii="Times New Roman"/>
        </w:rPr>
        <w:t>1. 无背景基元子混沌场的基本公设、母方程与公理化边界</w:t>
      </w:r>
    </w:p>
    <w:p>
      <w:pPr>
        <w:spacing w:after="40" w:line="283" w:lineRule="auto"/>
      </w:pPr>
      <w:r>
        <w:rPr>
          <w:sz w:val="22"/>
          <w:rFonts w:eastAsia="宋体" w:ascii="Times New Roman"/>
        </w:rPr>
        <w:t>2. 时空背景作为混沌场宏观几何相的涌现证明</w:t>
      </w:r>
    </w:p>
    <w:p>
      <w:pPr>
        <w:spacing w:after="40" w:line="283" w:lineRule="auto"/>
      </w:pPr>
      <w:r>
        <w:rPr>
          <w:sz w:val="22"/>
          <w:rFonts w:eastAsia="宋体" w:ascii="Times New Roman"/>
        </w:rPr>
        <w:t>3. 麦克斯韦方程、薛定谔方程与相对论结构的统一回收路线</w:t>
      </w:r>
    </w:p>
    <w:p>
      <w:pPr>
        <w:spacing w:after="40" w:line="283" w:lineRule="auto"/>
      </w:pPr>
      <w:r>
        <w:rPr>
          <w:sz w:val="22"/>
          <w:rFonts w:eastAsia="宋体" w:ascii="Times New Roman"/>
        </w:rPr>
        <w:t>4. 连续十维几何相与 4+6 动力学分裂</w:t>
      </w:r>
    </w:p>
    <w:p>
      <w:pPr>
        <w:spacing w:after="40" w:line="283" w:lineRule="auto"/>
      </w:pPr>
      <w:r>
        <w:rPr>
          <w:sz w:val="22"/>
          <w:rFonts w:eastAsia="宋体" w:ascii="Times New Roman"/>
        </w:rPr>
        <w:t>5. 内部六维凯勒几何与丘成桐方程的动力学涌现路线</w:t>
      </w:r>
    </w:p>
    <w:p>
      <w:pPr>
        <w:spacing w:after="40" w:line="283" w:lineRule="auto"/>
      </w:pPr>
      <w:r>
        <w:rPr>
          <w:sz w:val="22"/>
          <w:rFonts w:eastAsia="宋体" w:ascii="Times New Roman"/>
        </w:rPr>
        <w:t>6. 从单一混沌场到有效场统一</w:t>
      </w:r>
    </w:p>
    <w:p>
      <w:pPr>
        <w:spacing w:after="40" w:line="283" w:lineRule="auto"/>
      </w:pPr>
      <w:r>
        <w:rPr>
          <w:sz w:val="22"/>
          <w:rFonts w:eastAsia="宋体" w:ascii="Times New Roman"/>
        </w:rPr>
        <w:t>7. 粒子、费米统计与不相容原理的混沌场来源</w:t>
      </w:r>
    </w:p>
    <w:p>
      <w:pPr>
        <w:spacing w:after="40" w:line="283" w:lineRule="auto"/>
      </w:pPr>
      <w:r>
        <w:rPr>
          <w:sz w:val="22"/>
          <w:rFonts w:eastAsia="宋体" w:ascii="Times New Roman"/>
        </w:rPr>
        <w:t>8. 三个离散内部谱方向与粒子谱标签</w:t>
      </w:r>
    </w:p>
    <w:p>
      <w:pPr>
        <w:spacing w:after="40" w:line="283" w:lineRule="auto"/>
      </w:pPr>
      <w:r>
        <w:rPr>
          <w:sz w:val="22"/>
          <w:rFonts w:eastAsia="宋体" w:ascii="Times New Roman"/>
        </w:rPr>
        <w:t>9. 混沌场对量子力学物理场景的统一解释</w:t>
      </w:r>
    </w:p>
    <w:p>
      <w:pPr>
        <w:spacing w:after="40" w:line="283" w:lineRule="auto"/>
      </w:pPr>
      <w:r>
        <w:rPr>
          <w:sz w:val="22"/>
          <w:rFonts w:eastAsia="宋体" w:ascii="Times New Roman"/>
        </w:rPr>
        <w:t>10. 贝尔不等式场景与纠缠关联的混沌场解释</w:t>
      </w:r>
    </w:p>
    <w:p>
      <w:pPr>
        <w:spacing w:after="40" w:line="283" w:lineRule="auto"/>
      </w:pPr>
      <w:r>
        <w:rPr>
          <w:sz w:val="22"/>
          <w:rFonts w:eastAsia="宋体" w:ascii="Times New Roman"/>
        </w:rPr>
        <w:t>11. 无背景混沌场对真空涨落与能量来源问题的统一解释</w:t>
      </w:r>
    </w:p>
    <w:p>
      <w:pPr>
        <w:spacing w:after="40" w:line="283" w:lineRule="auto"/>
      </w:pPr>
      <w:r>
        <w:rPr>
          <w:sz w:val="22"/>
          <w:rFonts w:eastAsia="宋体" w:ascii="Times New Roman"/>
        </w:rPr>
        <w:t>12. 拓扑序材料中的混沌场应用判据与实验验证路线</w:t>
      </w:r>
    </w:p>
    <w:p>
      <w:pPr>
        <w:spacing w:after="40" w:line="283" w:lineRule="auto"/>
      </w:pPr>
      <w:r>
        <w:rPr>
          <w:sz w:val="22"/>
          <w:rFonts w:eastAsia="宋体" w:ascii="Times New Roman"/>
        </w:rPr>
        <w:t>13. 量子信息—量子混沌研究与混沌场理论的比较支撑</w:t>
      </w:r>
    </w:p>
    <w:p>
      <w:pPr>
        <w:spacing w:after="40" w:line="283" w:lineRule="auto"/>
      </w:pPr>
      <w:r>
        <w:rPr>
          <w:sz w:val="22"/>
          <w:rFonts w:eastAsia="宋体" w:ascii="Times New Roman"/>
        </w:rPr>
        <w:t>14. 量子力学与广义相对论作为同一混沌场的双极限理论</w:t>
      </w:r>
    </w:p>
    <w:p>
      <w:pPr>
        <w:spacing w:after="40" w:line="283" w:lineRule="auto"/>
      </w:pPr>
      <w:r>
        <w:rPr>
          <w:sz w:val="22"/>
          <w:rFonts w:eastAsia="宋体" w:ascii="Times New Roman"/>
        </w:rPr>
        <w:t>15. 双几何同源：时空几何与态空间几何的统一来源</w:t>
      </w:r>
    </w:p>
    <w:p>
      <w:pPr>
        <w:spacing w:after="40" w:line="283" w:lineRule="auto"/>
      </w:pPr>
      <w:r>
        <w:rPr>
          <w:sz w:val="22"/>
          <w:rFonts w:eastAsia="宋体" w:ascii="Times New Roman"/>
        </w:rPr>
        <w:t>16. 从量子到引力：统一底层对象下的方法互通</w:t>
      </w:r>
    </w:p>
    <w:p>
      <w:pPr>
        <w:spacing w:after="40" w:line="283" w:lineRule="auto"/>
      </w:pPr>
      <w:r>
        <w:rPr>
          <w:sz w:val="22"/>
          <w:rFonts w:eastAsia="宋体" w:ascii="Times New Roman"/>
        </w:rPr>
        <w:t>17. 十三维有效结构的导出：4+6+3 分解与应用闭环</w:t>
      </w:r>
    </w:p>
    <w:p>
      <w:pPr>
        <w:spacing w:after="40" w:line="283" w:lineRule="auto"/>
      </w:pPr>
      <w:r>
        <w:rPr>
          <w:sz w:val="22"/>
          <w:rFonts w:eastAsia="宋体" w:ascii="Times New Roman"/>
        </w:rPr>
        <w:t>18. 基元子混沌场理论总论</w:t>
      </w:r>
      <w:r>
        <w:br w:type="page"/>
      </w:r>
    </w:p>
    <w:p>
      <w:pPr>
        <w:pStyle w:val="Heading2"/>
      </w:pPr>
      <w:r>
        <w:t>3. 当前优先级重排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7C6E1"/>
          <w:left w:val="single" w:sz="8" w:space="0" w:color="B7C6E1"/>
          <w:bottom w:val="single" w:sz="8" w:space="0" w:color="B7C6E1"/>
          <w:right w:val="single" w:sz="8" w:space="0" w:color="B7C6E1"/>
          <w:insideH w:val="single" w:sz="8" w:space="0" w:color="B7C6E1"/>
          <w:insideV w:val="single" w:sz="8" w:space="0" w:color="B7C6E1"/>
        </w:tblBorders>
      </w:tblPr>
      <w:tblGrid>
        <w:gridCol w:w="4649"/>
        <w:gridCol w:w="4649"/>
      </w:tblGrid>
      <w:tr>
        <w:tc>
          <w:tcPr>
            <w:tcW w:type="dxa" w:w="1814"/>
            <w:vAlign w:val="center"/>
            <w:shd w:fill="DCE6F2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20"/>
                <w:rFonts w:eastAsia="宋体" w:ascii="Times New Roman"/>
              </w:rPr>
              <w:t>优先级</w:t>
            </w:r>
          </w:p>
        </w:tc>
        <w:tc>
          <w:tcPr>
            <w:tcW w:type="dxa" w:w="7030"/>
            <w:vAlign w:val="center"/>
            <w:shd w:fill="DCE6F2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20"/>
                <w:rFonts w:eastAsia="宋体" w:ascii="Times New Roman"/>
              </w:rPr>
              <w:t>建议先做的内容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20"/>
                <w:rFonts w:eastAsia="宋体" w:ascii="Times New Roman"/>
              </w:rPr>
              <w:t>第一优先</w:t>
            </w:r>
          </w:p>
        </w:tc>
        <w:tc>
          <w:tcPr>
            <w:tcW w:type="dxa" w:w="7030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20"/>
                <w:rFonts w:eastAsia="宋体" w:ascii="Times New Roman"/>
              </w:rPr>
              <w:t>母方程 + 无背景 + 公理化边界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20"/>
                <w:rFonts w:eastAsia="宋体" w:ascii="Times New Roman"/>
              </w:rPr>
              <w:t>第二优先</w:t>
            </w:r>
          </w:p>
        </w:tc>
        <w:tc>
          <w:tcPr>
            <w:tcW w:type="dxa" w:w="7030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20"/>
                <w:rFonts w:eastAsia="宋体" w:ascii="Times New Roman"/>
              </w:rPr>
              <w:t>麦克斯韦/薛定谔/相对论回收路线的统一写法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20"/>
                <w:rFonts w:eastAsia="宋体" w:ascii="Times New Roman"/>
              </w:rPr>
              <w:t>第三优先</w:t>
            </w:r>
          </w:p>
        </w:tc>
        <w:tc>
          <w:tcPr>
            <w:tcW w:type="dxa" w:w="7030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20"/>
                <w:rFonts w:eastAsia="宋体" w:ascii="Times New Roman"/>
              </w:rPr>
              <w:t>连续十维几何相 + 4+6 动力学分裂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20"/>
                <w:rFonts w:eastAsia="宋体" w:ascii="Times New Roman"/>
              </w:rPr>
              <w:t>第四优先</w:t>
            </w:r>
          </w:p>
        </w:tc>
        <w:tc>
          <w:tcPr>
            <w:tcW w:type="dxa" w:w="7030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20"/>
                <w:rFonts w:eastAsia="宋体" w:ascii="Times New Roman"/>
              </w:rPr>
              <w:t>内部六维复结构、凯勒条件与丘成桐方程路线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20"/>
                <w:rFonts w:eastAsia="宋体" w:ascii="Times New Roman"/>
              </w:rPr>
              <w:t>第五优先</w:t>
            </w:r>
          </w:p>
        </w:tc>
        <w:tc>
          <w:tcPr>
            <w:tcW w:type="dxa" w:w="7030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20"/>
                <w:rFonts w:eastAsia="宋体" w:ascii="Times New Roman"/>
              </w:rPr>
              <w:t>场统一、粒子统一、费米统计与不相容原理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20"/>
                <w:rFonts w:eastAsia="宋体" w:ascii="Times New Roman"/>
              </w:rPr>
              <w:t>第六优先</w:t>
            </w:r>
          </w:p>
        </w:tc>
        <w:tc>
          <w:tcPr>
            <w:tcW w:type="dxa" w:w="7030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20"/>
                <w:rFonts w:eastAsia="宋体" w:ascii="Times New Roman"/>
              </w:rPr>
              <w:t>量子场景解释、贝尔场景、真空与能量来源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20"/>
                <w:rFonts w:eastAsia="宋体" w:ascii="Times New Roman"/>
              </w:rPr>
              <w:t>第七优先</w:t>
            </w:r>
          </w:p>
        </w:tc>
        <w:tc>
          <w:tcPr>
            <w:tcW w:type="dxa" w:w="7030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20"/>
                <w:rFonts w:eastAsia="宋体" w:ascii="Times New Roman"/>
              </w:rPr>
              <w:t>实验判据、拓扑序材料案例与外部比较支撑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line="269" w:lineRule="auto"/>
              <w:jc w:val="center"/>
            </w:pPr>
            <w:r>
              <w:rPr>
                <w:sz w:val="20"/>
                <w:rFonts w:eastAsia="宋体" w:ascii="Times New Roman"/>
              </w:rPr>
              <w:t>第八优先</w:t>
            </w:r>
          </w:p>
        </w:tc>
        <w:tc>
          <w:tcPr>
            <w:tcW w:type="dxa" w:w="7030"/>
            <w:vAlign w:val="center"/>
          </w:tcPr>
          <w:p>
            <w:pPr>
              <w:spacing w:after="40" w:line="269" w:lineRule="auto"/>
              <w:jc w:val="left"/>
            </w:pPr>
            <w:r>
              <w:rPr>
                <w:sz w:val="20"/>
                <w:rFonts w:eastAsia="宋体" w:ascii="Times New Roman"/>
              </w:rPr>
              <w:t>双几何同源、量子—引力双极限、方法互通与十三维闭合</w:t>
            </w:r>
          </w:p>
        </w:tc>
      </w:tr>
    </w:tbl>
    <w:p/>
    <w:p>
      <w:pPr>
        <w:pStyle w:val="Heading1"/>
      </w:pPr>
      <w:r>
        <w:t>六、六条必须坚持的学术防线</w:t>
      </w:r>
    </w:p>
    <w:p>
      <w:pPr>
        <w:spacing w:after="100" w:line="324" w:lineRule="auto"/>
      </w:pPr>
      <w:r>
        <w:rPr>
          <w:sz w:val="22"/>
          <w:rFonts w:eastAsia="宋体" w:ascii="Times New Roman"/>
        </w:rPr>
        <w:t>第一条：把“兼容”与“已证”严格区分。凡属尚未完成的几何推导、标准方程回收和统计原理推导，一律写作“目标证明”“拟证明”“有望推出”。</w:t>
      </w:r>
    </w:p>
    <w:p>
      <w:pPr>
        <w:spacing w:after="100" w:line="324" w:lineRule="auto"/>
      </w:pPr>
      <w:r>
        <w:rPr>
          <w:sz w:val="22"/>
          <w:rFonts w:eastAsia="宋体" w:ascii="Times New Roman"/>
        </w:rPr>
        <w:t>第二条：把“4+6+3”写成连续推演，而不是拼接结论。先得到连续几何部分，再处理内部六维稳定性，再由内部算子谱给出离散标签。</w:t>
      </w:r>
    </w:p>
    <w:p>
      <w:pPr>
        <w:spacing w:after="100" w:line="324" w:lineRule="auto"/>
      </w:pPr>
      <w:r>
        <w:rPr>
          <w:sz w:val="22"/>
          <w:rFonts w:eastAsia="宋体" w:ascii="Times New Roman"/>
        </w:rPr>
        <w:t>第三条：把丘成桐方程定位为桥梁，而不是装饰。它必须真正连接无背景母理论、内部真空几何、费米子零模和十三维闭合。</w:t>
      </w:r>
    </w:p>
    <w:p>
      <w:pPr>
        <w:spacing w:after="100" w:line="324" w:lineRule="auto"/>
      </w:pPr>
      <w:r>
        <w:rPr>
          <w:sz w:val="22"/>
          <w:rFonts w:eastAsia="宋体" w:ascii="Times New Roman"/>
        </w:rPr>
        <w:t>第四条：把麦克斯韦方程、薛定谔方程、相对论结构和不相容原理视为硬验收项，而不是可选加分项。</w:t>
      </w:r>
    </w:p>
    <w:p>
      <w:pPr>
        <w:spacing w:after="100" w:line="324" w:lineRule="auto"/>
      </w:pPr>
      <w:r>
        <w:rPr>
          <w:sz w:val="22"/>
          <w:rFonts w:eastAsia="宋体" w:ascii="Times New Roman"/>
        </w:rPr>
        <w:t>第五条：把实验可证性写进研发计划本身。没有候选可观测量、材料平台和对照量，理论就无法进入下一轮严肃评估。</w:t>
      </w:r>
    </w:p>
    <w:p>
      <w:pPr>
        <w:spacing w:after="100" w:line="324" w:lineRule="auto"/>
      </w:pPr>
      <w:r>
        <w:rPr>
          <w:sz w:val="22"/>
          <w:rFonts w:eastAsia="宋体" w:ascii="Times New Roman"/>
        </w:rPr>
        <w:t>第六条：把霍夫特元胞自动机、希尔伯特第六问题以及量子信息—量子混沌相关研究作为比较与旁证，而不把外部资源误写成直接证明。</w:t>
      </w:r>
    </w:p>
    <w:p>
      <w:pPr>
        <w:pStyle w:val="Heading1"/>
      </w:pPr>
      <w:r>
        <w:t>七、计划总括</w:t>
      </w:r>
    </w:p>
    <w:p>
      <w:pPr>
        <w:spacing w:after="160" w:line="324" w:lineRule="auto"/>
      </w:pPr>
      <w:r>
        <w:rPr>
          <w:sz w:val="22"/>
          <w:rFonts w:eastAsia="宋体" w:ascii="Times New Roman"/>
        </w:rPr>
        <w:t>本次扩展后的计划可以概括为：先立无背景母理论与公理化边界，再用标准方程回收建立与主流理论的第一层硬连接；随后完成连续十维中的 4+6 动力学分裂，把内部六维的复结构、凯勒条件、里奇平坦真空与丘成桐方程连成主线；在此基础上统一有效场、粒子、费米统计、三个离散内部谱方向、量子场景、真空涨落与量子—引力双极限；最后通过拓扑序材料、实验判据和量子信息—量子混沌比较支撑，把整套理论推进到可讨论、可验证、可分篇发表的阶段。</w:t>
      </w:r>
    </w:p>
    <w:p>
      <w:pPr>
        <w:spacing w:after="0" w:line="288" w:lineRule="auto"/>
        <w:jc w:val="center"/>
      </w:pPr>
      <w:r>
        <w:rPr>
          <w:color w:val="666666"/>
          <w:sz w:val="22"/>
          <w:rFonts w:eastAsia="宋体" w:ascii="Times New Roman"/>
        </w:rPr>
        <w:t>—— 修订扩展计划文档完 ——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6B7280"/>
        <w:sz w:val="18"/>
      </w:rPr>
      <w:t>研究用途文稿｜供系列论文排期、阶段验收与总论统筹使用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6B7280"/>
        <w:sz w:val="18"/>
      </w:rPr>
      <w:t>无背景基元子混沌场理论研究计划（修订版）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F3F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微软雅黑" w:hAnsi="微软雅黑" w:eastAsia="微软雅黑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