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F1085">
      <w:pPr>
        <w:spacing w:before="1600"/>
        <w:jc w:val="center"/>
      </w:pPr>
      <w:r>
        <w:rPr>
          <w:rFonts w:ascii="Noto Serif CJK SC" w:hAnsi="Noto Serif CJK SC" w:eastAsia="Noto Serif CJK SC"/>
          <w:b/>
          <w:color w:val="143250"/>
          <w:sz w:val="44"/>
        </w:rPr>
        <w:t>Volume III R1.0 Draft</w:t>
      </w:r>
      <w:bookmarkStart w:id="0" w:name="_GoBack"/>
      <w:bookmarkEnd w:id="0"/>
    </w:p>
    <w:p w14:paraId="7CDC83DF">
      <w:pPr>
        <w:jc w:val="center"/>
      </w:pPr>
      <w:r>
        <w:rPr>
          <w:rFonts w:ascii="Noto Serif CJK SC" w:hAnsi="Noto Serif CJK SC" w:eastAsia="Noto Serif CJK SC"/>
          <w:b/>
          <w:color w:val="1F4E79"/>
          <w:sz w:val="34"/>
        </w:rPr>
        <w:t>From Causal Slices to Discrete Geometric Interfaces</w:t>
      </w:r>
    </w:p>
    <w:p w14:paraId="54B51039">
      <w:pPr>
        <w:jc w:val="center"/>
      </w:pPr>
      <w:r>
        <w:rPr>
          <w:rFonts w:ascii="Noto Serif CJK SC" w:hAnsi="Noto Serif CJK SC" w:eastAsia="Noto Serif CJK SC"/>
          <w:color w:val="5A5A5A"/>
          <w:sz w:val="24"/>
        </w:rPr>
        <w:t>Background-Independent Construction of Spatial Adjacency, Distance Proxies, and Curvature Precursors</w:t>
      </w:r>
    </w:p>
    <w:tbl>
      <w:tblPr>
        <w:tblStyle w:val="32"/>
        <w:tblW w:w="0" w:type="auto"/>
        <w:jc w:val="center"/>
        <w:tblLayout w:type="autofit"/>
        <w:tblCellMar>
          <w:top w:w="0" w:type="dxa"/>
          <w:left w:w="108" w:type="dxa"/>
          <w:bottom w:w="0" w:type="dxa"/>
          <w:right w:w="108" w:type="dxa"/>
        </w:tblCellMar>
      </w:tblPr>
      <w:tblGrid>
        <w:gridCol w:w="9576"/>
      </w:tblGrid>
      <w:tr w14:paraId="719C3C88">
        <w:tblPrEx>
          <w:tblCellMar>
            <w:top w:w="0" w:type="dxa"/>
            <w:left w:w="108" w:type="dxa"/>
            <w:bottom w:w="0" w:type="dxa"/>
            <w:right w:w="108" w:type="dxa"/>
          </w:tblCellMar>
        </w:tblPrEx>
        <w:trPr>
          <w:jc w:val="center"/>
        </w:trPr>
        <w:tc>
          <w:tcPr>
            <w:tcW w:w="9576" w:type="dxa"/>
            <w:shd w:val="clear" w:color="auto" w:fill="EAF3F8"/>
            <w:tcMar>
              <w:top w:w="180" w:type="dxa"/>
              <w:left w:w="220" w:type="dxa"/>
              <w:bottom w:w="180" w:type="dxa"/>
              <w:right w:w="220" w:type="dxa"/>
            </w:tcMar>
          </w:tcPr>
          <w:p w14:paraId="70ECBD1B">
            <w:pPr>
              <w:spacing w:after="60"/>
            </w:pPr>
            <w:r>
              <w:rPr>
                <w:rFonts w:ascii="Noto Serif CJK SC" w:hAnsi="Noto Serif CJK SC" w:eastAsia="Noto Serif CJK SC"/>
                <w:b/>
                <w:color w:val="143250"/>
                <w:sz w:val="21"/>
              </w:rPr>
              <w:t>Document role</w:t>
            </w:r>
          </w:p>
          <w:p w14:paraId="7BAC99E2">
            <w:pPr>
              <w:spacing w:after="0" w:line="269" w:lineRule="auto"/>
            </w:pPr>
            <w:r>
              <w:rPr>
                <w:rFonts w:ascii="Noto Serif CJK SC" w:hAnsi="Noto Serif CJK SC" w:eastAsia="Noto Serif CJK SC"/>
                <w:color w:val="282828"/>
                <w:sz w:val="20"/>
              </w:rPr>
              <w:t>This draft is Volume III R1.0 of the Background-Independent Constituent Chaotic Field Theory. It does not claim to derive continuous spacetime or the Einstein field equations. It constructs a computable, auditable, and reversible discrete geometric interface from causal slices.</w:t>
            </w:r>
          </w:p>
        </w:tc>
      </w:tr>
    </w:tbl>
    <w:p w14:paraId="6C46479A">
      <w:pPr>
        <w:spacing w:after="40"/>
      </w:pPr>
    </w:p>
    <w:tbl>
      <w:tblPr>
        <w:tblStyle w:val="32"/>
        <w:tblW w:w="0" w:type="auto"/>
        <w:jc w:val="center"/>
        <w:tblLayout w:type="autofit"/>
        <w:tblCellMar>
          <w:top w:w="0" w:type="dxa"/>
          <w:left w:w="108" w:type="dxa"/>
          <w:bottom w:w="0" w:type="dxa"/>
          <w:right w:w="108" w:type="dxa"/>
        </w:tblCellMar>
      </w:tblPr>
      <w:tblGrid>
        <w:gridCol w:w="4788"/>
        <w:gridCol w:w="4788"/>
      </w:tblGrid>
      <w:tr w14:paraId="0F60C5F6">
        <w:tblPrEx>
          <w:tblCellMar>
            <w:top w:w="0" w:type="dxa"/>
            <w:left w:w="108" w:type="dxa"/>
            <w:bottom w:w="0" w:type="dxa"/>
            <w:right w:w="108" w:type="dxa"/>
          </w:tblCellMar>
        </w:tblPrEx>
        <w:trPr>
          <w:jc w:val="center"/>
        </w:trPr>
        <w:tc>
          <w:tcPr>
            <w:tcW w:w="4788" w:type="dxa"/>
            <w:shd w:val="clear" w:color="auto" w:fill="F2F2F2"/>
            <w:tcMar>
              <w:top w:w="120" w:type="dxa"/>
              <w:left w:w="180" w:type="dxa"/>
              <w:bottom w:w="120" w:type="dxa"/>
              <w:right w:w="180" w:type="dxa"/>
            </w:tcMar>
          </w:tcPr>
          <w:p w14:paraId="35D36D03">
            <w:r>
              <w:rPr>
                <w:rFonts w:ascii="Noto Serif CJK SC" w:hAnsi="Noto Serif CJK SC" w:eastAsia="Noto Serif CJK SC"/>
                <w:b/>
                <w:sz w:val="20"/>
              </w:rPr>
              <w:t>Theory</w:t>
            </w:r>
          </w:p>
        </w:tc>
        <w:tc>
          <w:tcPr>
            <w:tcW w:w="4788" w:type="dxa"/>
            <w:tcMar>
              <w:top w:w="120" w:type="dxa"/>
              <w:left w:w="180" w:type="dxa"/>
              <w:bottom w:w="120" w:type="dxa"/>
              <w:right w:w="180" w:type="dxa"/>
            </w:tcMar>
          </w:tcPr>
          <w:p w14:paraId="37F309C6">
            <w:r>
              <w:rPr>
                <w:rFonts w:ascii="Noto Serif CJK SC" w:hAnsi="Noto Serif CJK SC" w:eastAsia="Noto Serif CJK SC"/>
                <w:b w:val="0"/>
                <w:sz w:val="20"/>
              </w:rPr>
              <w:t>Background-Independent Constituent Chaotic Field Theory (BICFT)</w:t>
            </w:r>
          </w:p>
        </w:tc>
      </w:tr>
      <w:tr w14:paraId="5105FDE3">
        <w:tblPrEx>
          <w:tblCellMar>
            <w:top w:w="0" w:type="dxa"/>
            <w:left w:w="108" w:type="dxa"/>
            <w:bottom w:w="0" w:type="dxa"/>
            <w:right w:w="108" w:type="dxa"/>
          </w:tblCellMar>
        </w:tblPrEx>
        <w:trPr>
          <w:jc w:val="center"/>
        </w:trPr>
        <w:tc>
          <w:tcPr>
            <w:tcW w:w="4788" w:type="dxa"/>
            <w:shd w:val="clear" w:color="auto" w:fill="F2F2F2"/>
            <w:tcMar>
              <w:top w:w="120" w:type="dxa"/>
              <w:left w:w="180" w:type="dxa"/>
              <w:bottom w:w="120" w:type="dxa"/>
              <w:right w:w="180" w:type="dxa"/>
            </w:tcMar>
          </w:tcPr>
          <w:p w14:paraId="13EB52EA">
            <w:r>
              <w:rPr>
                <w:rFonts w:ascii="Noto Serif CJK SC" w:hAnsi="Noto Serif CJK SC" w:eastAsia="Noto Serif CJK SC"/>
                <w:b/>
                <w:sz w:val="20"/>
              </w:rPr>
              <w:t>Version</w:t>
            </w:r>
          </w:p>
        </w:tc>
        <w:tc>
          <w:tcPr>
            <w:tcW w:w="4788" w:type="dxa"/>
            <w:tcMar>
              <w:top w:w="120" w:type="dxa"/>
              <w:left w:w="180" w:type="dxa"/>
              <w:bottom w:w="120" w:type="dxa"/>
              <w:right w:w="180" w:type="dxa"/>
            </w:tcMar>
          </w:tcPr>
          <w:p w14:paraId="18E24C87">
            <w:r>
              <w:rPr>
                <w:rFonts w:ascii="Noto Serif CJK SC" w:hAnsi="Noto Serif CJK SC" w:eastAsia="Noto Serif CJK SC"/>
                <w:b w:val="0"/>
                <w:sz w:val="20"/>
              </w:rPr>
              <w:t>Volume III R1.0 Draft</w:t>
            </w:r>
          </w:p>
        </w:tc>
      </w:tr>
      <w:tr w14:paraId="1F0F0740">
        <w:tblPrEx>
          <w:tblCellMar>
            <w:top w:w="0" w:type="dxa"/>
            <w:left w:w="108" w:type="dxa"/>
            <w:bottom w:w="0" w:type="dxa"/>
            <w:right w:w="108" w:type="dxa"/>
          </w:tblCellMar>
        </w:tblPrEx>
        <w:trPr>
          <w:jc w:val="center"/>
        </w:trPr>
        <w:tc>
          <w:tcPr>
            <w:tcW w:w="4788" w:type="dxa"/>
            <w:shd w:val="clear" w:color="auto" w:fill="F2F2F2"/>
            <w:tcMar>
              <w:top w:w="120" w:type="dxa"/>
              <w:left w:w="180" w:type="dxa"/>
              <w:bottom w:w="120" w:type="dxa"/>
              <w:right w:w="180" w:type="dxa"/>
            </w:tcMar>
          </w:tcPr>
          <w:p w14:paraId="0D6983A7">
            <w:r>
              <w:rPr>
                <w:rFonts w:ascii="Noto Serif CJK SC" w:hAnsi="Noto Serif CJK SC" w:eastAsia="Noto Serif CJK SC"/>
                <w:b/>
                <w:sz w:val="20"/>
              </w:rPr>
              <w:t>Status</w:t>
            </w:r>
          </w:p>
        </w:tc>
        <w:tc>
          <w:tcPr>
            <w:tcW w:w="4788" w:type="dxa"/>
            <w:tcMar>
              <w:top w:w="120" w:type="dxa"/>
              <w:left w:w="180" w:type="dxa"/>
              <w:bottom w:w="120" w:type="dxa"/>
              <w:right w:w="180" w:type="dxa"/>
            </w:tcMar>
          </w:tcPr>
          <w:p w14:paraId="395BCBDE">
            <w:r>
              <w:rPr>
                <w:rFonts w:ascii="Noto Serif CJK SC" w:hAnsi="Noto Serif CJK SC" w:eastAsia="Noto Serif CJK SC"/>
                <w:b w:val="0"/>
                <w:sz w:val="20"/>
              </w:rPr>
              <w:t>Working draft / auditable / reversible</w:t>
            </w:r>
          </w:p>
        </w:tc>
      </w:tr>
      <w:tr w14:paraId="07FAF9A9">
        <w:tblPrEx>
          <w:tblCellMar>
            <w:top w:w="0" w:type="dxa"/>
            <w:left w:w="108" w:type="dxa"/>
            <w:bottom w:w="0" w:type="dxa"/>
            <w:right w:w="108" w:type="dxa"/>
          </w:tblCellMar>
        </w:tblPrEx>
        <w:trPr>
          <w:jc w:val="center"/>
        </w:trPr>
        <w:tc>
          <w:tcPr>
            <w:tcW w:w="4788" w:type="dxa"/>
            <w:shd w:val="clear" w:color="auto" w:fill="F2F2F2"/>
            <w:tcMar>
              <w:top w:w="120" w:type="dxa"/>
              <w:left w:w="180" w:type="dxa"/>
              <w:bottom w:w="120" w:type="dxa"/>
              <w:right w:w="180" w:type="dxa"/>
            </w:tcMar>
          </w:tcPr>
          <w:p w14:paraId="304CC905">
            <w:r>
              <w:rPr>
                <w:rFonts w:ascii="Noto Serif CJK SC" w:hAnsi="Noto Serif CJK SC" w:eastAsia="Noto Serif CJK SC"/>
                <w:b/>
                <w:sz w:val="20"/>
              </w:rPr>
              <w:t>Date</w:t>
            </w:r>
          </w:p>
        </w:tc>
        <w:tc>
          <w:tcPr>
            <w:tcW w:w="4788" w:type="dxa"/>
            <w:tcMar>
              <w:top w:w="120" w:type="dxa"/>
              <w:left w:w="180" w:type="dxa"/>
              <w:bottom w:w="120" w:type="dxa"/>
              <w:right w:w="180" w:type="dxa"/>
            </w:tcMar>
          </w:tcPr>
          <w:p w14:paraId="1214DC88">
            <w:r>
              <w:rPr>
                <w:rFonts w:ascii="Noto Serif CJK SC" w:hAnsi="Noto Serif CJK SC" w:eastAsia="Noto Serif CJK SC"/>
                <w:b w:val="0"/>
                <w:sz w:val="20"/>
              </w:rPr>
              <w:t>2026-04-16</w:t>
            </w:r>
          </w:p>
        </w:tc>
      </w:tr>
    </w:tbl>
    <w:p w14:paraId="1D955ACE">
      <w:r>
        <w:br w:type="page"/>
      </w:r>
    </w:p>
    <w:p w14:paraId="38C3070D">
      <w:pPr>
        <w:pStyle w:val="3"/>
        <w:spacing w:before="360" w:after="160"/>
      </w:pPr>
      <w:r>
        <w:rPr>
          <w:rFonts w:ascii="Noto Serif CJK SC" w:hAnsi="Noto Serif CJK SC" w:eastAsia="Noto Serif CJK SC"/>
          <w:b/>
          <w:color w:val="143250"/>
          <w:sz w:val="32"/>
        </w:rPr>
        <w:t>Abstract</w:t>
      </w:r>
    </w:p>
    <w:p w14:paraId="04F1CDDA">
      <w:pPr>
        <w:spacing w:before="0" w:after="120" w:line="283" w:lineRule="auto"/>
      </w:pPr>
      <w:r>
        <w:rPr>
          <w:rFonts w:ascii="Noto Serif CJK SC" w:hAnsi="Noto Serif CJK SC" w:eastAsia="Noto Serif CJK SC"/>
          <w:sz w:val="21"/>
        </w:rPr>
        <w:t>Volume I established the basic postulates, local update structure, and mother dynamical framework of the Background-Independent Constituent Chaotic Field Theory. Volume II constructed events, causal partial orders, event layers, maximal-antichain slices, and comparison-chain dependencies from update sequences. Volume III does not introduce continuous space, coordinate systems, manifolds, metric tensors, or classical curvature as primitives. Instead, it constructs a fully relational discrete geometric interface on top of the causal slices obtained in Volume II.</w:t>
      </w:r>
    </w:p>
    <w:p w14:paraId="107C8746">
      <w:pPr>
        <w:spacing w:before="0" w:after="120" w:line="283" w:lineRule="auto"/>
      </w:pPr>
      <w:r>
        <w:rPr>
          <w:rFonts w:ascii="Noto Serif CJK SC" w:hAnsi="Noto Serif CJK SC" w:eastAsia="Noto Serif CJK SC"/>
          <w:sz w:val="21"/>
        </w:rPr>
        <w:t>The central construction is the following chain: causal slice Σ_l → slice adjacency relation A_Σ → slice adjacency graph G_Σl → edge-cost function c_I → path cost C_I → distance proxy d_I* → distance ball B_I(e,r) → volume-growth function V_I(e,r) → effective-dimensional proxy D_eff → curvature proxy Ric_I*. Every step depends only on event relations, causal structure, local update traces, and comparison-chain dependencies. No background coordinates, Euclidean distance, or continuous differential-geometric object is allowed as an input.</w:t>
      </w:r>
    </w:p>
    <w:p w14:paraId="3A8CDBE2">
      <w:pPr>
        <w:spacing w:before="0" w:after="120" w:line="283" w:lineRule="auto"/>
      </w:pPr>
      <w:r>
        <w:rPr>
          <w:rFonts w:ascii="Noto Serif CJK SC" w:hAnsi="Noto Serif CJK SC" w:eastAsia="Noto Serif CJK SC"/>
          <w:sz w:val="21"/>
        </w:rPr>
        <w:t>The output of this volume is not continuous spacetime itself, nor a direct derivation of the Einstein field equations. It is a computable, auditable, and reversible discrete pre-geometric interface for Volume IV, where coarse-graining limits, scale stability, continuum-geometric correspondence, and low-energy effective spacetime reconstruction may be examined.</w:t>
      </w:r>
    </w:p>
    <w:p w14:paraId="53747CEF">
      <w:pPr>
        <w:spacing w:before="0" w:after="120" w:line="283" w:lineRule="auto"/>
      </w:pPr>
      <w:r>
        <w:rPr>
          <w:rFonts w:ascii="Noto Serif CJK SC" w:hAnsi="Noto Serif CJK SC" w:eastAsia="Noto Serif CJK SC"/>
          <w:sz w:val="21"/>
        </w:rPr>
        <w:t>Keywords: background independence; causal slice; discrete geometry; adjacency relation; distance proxy; volume growth; effective dimension; curvature proxy; constituent chaotic field</w:t>
      </w:r>
    </w:p>
    <w:p w14:paraId="58643FF2">
      <w:pPr>
        <w:pStyle w:val="3"/>
        <w:spacing w:before="360" w:after="160"/>
      </w:pPr>
      <w:r>
        <w:rPr>
          <w:rFonts w:ascii="Noto Serif CJK SC" w:hAnsi="Noto Serif CJK SC" w:eastAsia="Noto Serif CJK SC"/>
          <w:b/>
          <w:color w:val="143250"/>
          <w:sz w:val="32"/>
        </w:rPr>
        <w:t>0. Version Statement and Continuity</w:t>
      </w:r>
    </w:p>
    <w:p w14:paraId="1DA5AC31">
      <w:pPr>
        <w:spacing w:before="0" w:after="120" w:line="283" w:lineRule="auto"/>
      </w:pPr>
      <w:r>
        <w:rPr>
          <w:rFonts w:ascii="Noto Serif CJK SC" w:hAnsi="Noto Serif CJK SC" w:eastAsia="Noto Serif CJK SC"/>
          <w:sz w:val="21"/>
        </w:rPr>
        <w:t>This document is Volume III of the Background-Independent Constituent Chaotic Field Theory. Volume I introduced the postulates, local update units, mother dynamics, and background-independence red lines. Volume II addressed the problem of update order and time by organizing local updates into events, causal partial orders, event layers, and maximal-antichain slices.</w:t>
      </w:r>
    </w:p>
    <w:p w14:paraId="65029D8C">
      <w:pPr>
        <w:spacing w:before="0" w:after="120" w:line="283" w:lineRule="auto"/>
      </w:pPr>
      <w:r>
        <w:rPr>
          <w:rFonts w:ascii="Noto Serif CJK SC" w:hAnsi="Noto Serif CJK SC" w:eastAsia="Noto Serif CJK SC"/>
          <w:sz w:val="21"/>
        </w:rPr>
        <w:t>Volume III does not reopen the postulates, redefine time, or assume space. It addresses a single question: given the causal slices constructed in Volume II, how can one define a discrete geometric interface without introducing any external spatial background?</w:t>
      </w:r>
    </w:p>
    <w:tbl>
      <w:tblPr>
        <w:tblStyle w:val="32"/>
        <w:tblW w:w="0" w:type="auto"/>
        <w:jc w:val="center"/>
        <w:tblLayout w:type="autofit"/>
        <w:tblCellMar>
          <w:top w:w="0" w:type="dxa"/>
          <w:left w:w="108" w:type="dxa"/>
          <w:bottom w:w="0" w:type="dxa"/>
          <w:right w:w="108" w:type="dxa"/>
        </w:tblCellMar>
      </w:tblPr>
      <w:tblGrid>
        <w:gridCol w:w="9576"/>
      </w:tblGrid>
      <w:tr w14:paraId="522A20E4">
        <w:tblPrEx>
          <w:tblCellMar>
            <w:top w:w="0" w:type="dxa"/>
            <w:left w:w="108" w:type="dxa"/>
            <w:bottom w:w="0" w:type="dxa"/>
            <w:right w:w="108" w:type="dxa"/>
          </w:tblCellMar>
        </w:tblPrEx>
        <w:trPr>
          <w:jc w:val="center"/>
        </w:trPr>
        <w:tc>
          <w:tcPr>
            <w:tcW w:w="9576" w:type="dxa"/>
            <w:shd w:val="clear" w:color="auto" w:fill="EAF3F8"/>
            <w:tcMar>
              <w:top w:w="180" w:type="dxa"/>
              <w:left w:w="220" w:type="dxa"/>
              <w:bottom w:w="180" w:type="dxa"/>
              <w:right w:w="220" w:type="dxa"/>
            </w:tcMar>
          </w:tcPr>
          <w:p w14:paraId="7624F2DA">
            <w:pPr>
              <w:spacing w:after="60"/>
            </w:pPr>
            <w:r>
              <w:rPr>
                <w:rFonts w:ascii="Noto Serif CJK SC" w:hAnsi="Noto Serif CJK SC" w:eastAsia="Noto Serif CJK SC"/>
                <w:b/>
                <w:color w:val="143250"/>
                <w:sz w:val="21"/>
              </w:rPr>
              <w:t>Core role</w:t>
            </w:r>
          </w:p>
          <w:p w14:paraId="0C59A38B">
            <w:pPr>
              <w:spacing w:after="0" w:line="269" w:lineRule="auto"/>
            </w:pPr>
            <w:r>
              <w:rPr>
                <w:rFonts w:ascii="Noto Serif CJK SC" w:hAnsi="Noto Serif CJK SC" w:eastAsia="Noto Serif CJK SC"/>
                <w:color w:val="282828"/>
                <w:sz w:val="20"/>
              </w:rPr>
              <w:t>Volume III is a bridge from causal structure to pre-geometric structure.</w:t>
            </w:r>
          </w:p>
        </w:tc>
      </w:tr>
    </w:tbl>
    <w:p w14:paraId="22680932">
      <w:pPr>
        <w:spacing w:after="40"/>
      </w:pPr>
    </w:p>
    <w:p w14:paraId="0DC4F08B">
      <w:pPr>
        <w:pStyle w:val="4"/>
        <w:spacing w:before="240" w:after="120"/>
      </w:pPr>
      <w:r>
        <w:rPr>
          <w:rFonts w:ascii="Noto Serif CJK SC" w:hAnsi="Noto Serif CJK SC" w:eastAsia="Noto Serif CJK SC"/>
          <w:b/>
          <w:color w:val="1F4E79"/>
          <w:sz w:val="26"/>
        </w:rPr>
        <w:t>0.1 What this volume does not do</w:t>
      </w:r>
    </w:p>
    <w:p w14:paraId="494FE4F2">
      <w:pPr>
        <w:spacing w:before="0" w:after="60" w:line="283" w:lineRule="auto"/>
      </w:pPr>
      <w:r>
        <w:rPr>
          <w:rFonts w:ascii="Noto Serif CJK SC" w:hAnsi="Noto Serif CJK SC" w:eastAsia="Noto Serif CJK SC"/>
          <w:sz w:val="21"/>
        </w:rPr>
        <w:t>• It does not prove that continuous spacetime has already emerged.</w:t>
      </w:r>
    </w:p>
    <w:p w14:paraId="1DD5D210">
      <w:pPr>
        <w:spacing w:before="0" w:after="60" w:line="283" w:lineRule="auto"/>
      </w:pPr>
      <w:r>
        <w:rPr>
          <w:rFonts w:ascii="Noto Serif CJK SC" w:hAnsi="Noto Serif CJK SC" w:eastAsia="Noto Serif CJK SC"/>
          <w:sz w:val="21"/>
        </w:rPr>
        <w:t>• It does not strictly derive three-dimensional space.</w:t>
      </w:r>
    </w:p>
    <w:p w14:paraId="75789959">
      <w:pPr>
        <w:spacing w:before="0" w:after="60" w:line="283" w:lineRule="auto"/>
      </w:pPr>
      <w:r>
        <w:rPr>
          <w:rFonts w:ascii="Noto Serif CJK SC" w:hAnsi="Noto Serif CJK SC" w:eastAsia="Noto Serif CJK SC"/>
          <w:sz w:val="21"/>
        </w:rPr>
        <w:t>• It does not introduce a pre-given manifold M.</w:t>
      </w:r>
    </w:p>
    <w:p w14:paraId="121A9491">
      <w:pPr>
        <w:spacing w:before="0" w:after="60" w:line="283" w:lineRule="auto"/>
      </w:pPr>
      <w:r>
        <w:rPr>
          <w:rFonts w:ascii="Noto Serif CJK SC" w:hAnsi="Noto Serif CJK SC" w:eastAsia="Noto Serif CJK SC"/>
          <w:sz w:val="21"/>
        </w:rPr>
        <w:t>• It does not introduce background coordinates such as (x,y,z) or x^μ.</w:t>
      </w:r>
    </w:p>
    <w:p w14:paraId="79494022">
      <w:pPr>
        <w:spacing w:before="0" w:after="60" w:line="283" w:lineRule="auto"/>
      </w:pPr>
      <w:r>
        <w:rPr>
          <w:rFonts w:ascii="Noto Serif CJK SC" w:hAnsi="Noto Serif CJK SC" w:eastAsia="Noto Serif CJK SC"/>
          <w:sz w:val="21"/>
        </w:rPr>
        <w:t>• It does not introduce a pre-given metric tensor g_μν.</w:t>
      </w:r>
    </w:p>
    <w:p w14:paraId="775A3E9F">
      <w:pPr>
        <w:spacing w:before="0" w:after="60" w:line="283" w:lineRule="auto"/>
      </w:pPr>
      <w:r>
        <w:rPr>
          <w:rFonts w:ascii="Noto Serif CJK SC" w:hAnsi="Noto Serif CJK SC" w:eastAsia="Noto Serif CJK SC"/>
          <w:sz w:val="21"/>
        </w:rPr>
        <w:t>• It does not use classical Ricci curvature R_μν as a primitive.</w:t>
      </w:r>
    </w:p>
    <w:p w14:paraId="1B253CF4">
      <w:pPr>
        <w:spacing w:before="0" w:after="60" w:line="283" w:lineRule="auto"/>
      </w:pPr>
      <w:r>
        <w:rPr>
          <w:rFonts w:ascii="Noto Serif CJK SC" w:hAnsi="Noto Serif CJK SC" w:eastAsia="Noto Serif CJK SC"/>
          <w:sz w:val="21"/>
        </w:rPr>
        <w:t>• It does not derive the Einstein field equations.</w:t>
      </w:r>
    </w:p>
    <w:p w14:paraId="3AA6DB5F">
      <w:pPr>
        <w:spacing w:before="0" w:after="60" w:line="283" w:lineRule="auto"/>
      </w:pPr>
      <w:r>
        <w:rPr>
          <w:rFonts w:ascii="Noto Serif CJK SC" w:hAnsi="Noto Serif CJK SC" w:eastAsia="Noto Serif CJK SC"/>
          <w:sz w:val="21"/>
        </w:rPr>
        <w:t>• It does not identify graph-edge distance with physical distance.</w:t>
      </w:r>
    </w:p>
    <w:p w14:paraId="070420EC">
      <w:pPr>
        <w:pStyle w:val="4"/>
        <w:spacing w:before="240" w:after="120"/>
      </w:pPr>
      <w:r>
        <w:rPr>
          <w:rFonts w:ascii="Noto Serif CJK SC" w:hAnsi="Noto Serif CJK SC" w:eastAsia="Noto Serif CJK SC"/>
          <w:b/>
          <w:color w:val="1F4E79"/>
          <w:sz w:val="26"/>
        </w:rPr>
        <w:t>0.2 Construction chain</w:t>
      </w:r>
    </w:p>
    <w:p w14:paraId="3551A181">
      <w:pPr>
        <w:spacing w:before="40" w:after="160"/>
        <w:jc w:val="center"/>
      </w:pPr>
      <w:r>
        <w:rPr>
          <w:rFonts w:ascii="Noto Serif CJK SC" w:hAnsi="Noto Serif CJK SC" w:eastAsia="Noto Serif CJK SC"/>
          <w:color w:val="143250"/>
          <w:sz w:val="21"/>
        </w:rPr>
        <w:t>Σ_l → A_Σ → G_{Σ_l} → c_I → C_I → d_I* → B_I(e,r) → V_I(e,r) → D_eff → Ric_I*</w:t>
      </w:r>
    </w:p>
    <w:p w14:paraId="40357FBA">
      <w:pPr>
        <w:pStyle w:val="3"/>
        <w:spacing w:before="360" w:after="160"/>
      </w:pPr>
      <w:r>
        <w:rPr>
          <w:rFonts w:ascii="Noto Serif CJK SC" w:hAnsi="Noto Serif CJK SC" w:eastAsia="Noto Serif CJK SC"/>
          <w:b/>
          <w:color w:val="143250"/>
          <w:sz w:val="32"/>
        </w:rPr>
        <w:t>1. From Causal Slices to Pre-Spatial Structure</w:t>
      </w:r>
    </w:p>
    <w:p w14:paraId="27EF6081">
      <w:pPr>
        <w:spacing w:before="0" w:after="120" w:line="283" w:lineRule="auto"/>
      </w:pPr>
      <w:r>
        <w:rPr>
          <w:rFonts w:ascii="Noto Serif CJK SC" w:hAnsi="Noto Serif CJK SC" w:eastAsia="Noto Serif CJK SC"/>
          <w:sz w:val="21"/>
        </w:rPr>
        <w:t>Volume II provides a causal partial order and maximal-antichain slices. Let E be the event set and ≺ the causal partial order. If e_i ≺ e_j, then e_j structurally depends on e_i.</w:t>
      </w:r>
    </w:p>
    <w:p w14:paraId="6CA38FA9">
      <w:pPr>
        <w:spacing w:before="40" w:after="160"/>
        <w:jc w:val="center"/>
      </w:pPr>
      <w:r>
        <w:rPr>
          <w:rFonts w:ascii="Noto Serif CJK SC" w:hAnsi="Noto Serif CJK SC" w:eastAsia="Noto Serif CJK SC"/>
          <w:color w:val="143250"/>
          <w:sz w:val="21"/>
        </w:rPr>
        <w:t>Σ_l ⊂ E</w:t>
      </w:r>
    </w:p>
    <w:p w14:paraId="2D68A5A6">
      <w:pPr>
        <w:spacing w:before="0" w:after="120" w:line="283" w:lineRule="auto"/>
      </w:pPr>
      <w:r>
        <w:rPr>
          <w:rFonts w:ascii="Noto Serif CJK SC" w:hAnsi="Noto Serif CJK SC" w:eastAsia="Noto Serif CJK SC"/>
          <w:sz w:val="21"/>
        </w:rPr>
        <w:t>Ideally, Σ_l can be treated as a maximal antichain at an internal layer. For any two distinct events e_i,e_j∈Σ_l:</w:t>
      </w:r>
    </w:p>
    <w:p w14:paraId="4B901E2E">
      <w:pPr>
        <w:spacing w:before="40" w:after="160"/>
        <w:jc w:val="center"/>
      </w:pPr>
      <w:r>
        <w:rPr>
          <w:rFonts w:ascii="Noto Serif CJK SC" w:hAnsi="Noto Serif CJK SC" w:eastAsia="Noto Serif CJK SC"/>
          <w:color w:val="143250"/>
          <w:sz w:val="21"/>
        </w:rPr>
        <w:t>¬(e_i ≺ e_j),  ¬(e_j ≺ e_i)</w:t>
      </w:r>
    </w:p>
    <w:p w14:paraId="24403CA2">
      <w:pPr>
        <w:spacing w:before="0" w:after="120" w:line="283" w:lineRule="auto"/>
      </w:pPr>
      <w:r>
        <w:rPr>
          <w:rFonts w:ascii="Noto Serif CJK SC" w:hAnsi="Noto Serif CJK SC" w:eastAsia="Noto Serif CJK SC"/>
          <w:sz w:val="21"/>
        </w:rPr>
        <w:t>This means that there is no direct causal precedence between them. However, a maximal antichain only states same-layer incomparability; it does not automatically define spatial geometry. Volume II yields spatial candidate slices, not completed spatial geometry.</w:t>
      </w:r>
    </w:p>
    <w:tbl>
      <w:tblPr>
        <w:tblStyle w:val="32"/>
        <w:tblW w:w="0" w:type="auto"/>
        <w:jc w:val="center"/>
        <w:tblLayout w:type="autofit"/>
        <w:tblCellMar>
          <w:top w:w="0" w:type="dxa"/>
          <w:left w:w="108" w:type="dxa"/>
          <w:bottom w:w="0" w:type="dxa"/>
          <w:right w:w="108" w:type="dxa"/>
        </w:tblCellMar>
      </w:tblPr>
      <w:tblGrid>
        <w:gridCol w:w="9576"/>
      </w:tblGrid>
      <w:tr w14:paraId="55FC3313">
        <w:tblPrEx>
          <w:tblCellMar>
            <w:top w:w="0" w:type="dxa"/>
            <w:left w:w="108" w:type="dxa"/>
            <w:bottom w:w="0" w:type="dxa"/>
            <w:right w:w="108" w:type="dxa"/>
          </w:tblCellMar>
        </w:tblPrEx>
        <w:trPr>
          <w:jc w:val="center"/>
        </w:trPr>
        <w:tc>
          <w:tcPr>
            <w:tcW w:w="9576" w:type="dxa"/>
            <w:shd w:val="clear" w:color="auto" w:fill="EAF3F8"/>
            <w:tcMar>
              <w:top w:w="180" w:type="dxa"/>
              <w:left w:w="220" w:type="dxa"/>
              <w:bottom w:w="180" w:type="dxa"/>
              <w:right w:w="220" w:type="dxa"/>
            </w:tcMar>
          </w:tcPr>
          <w:p w14:paraId="033541EE">
            <w:pPr>
              <w:spacing w:after="60"/>
            </w:pPr>
            <w:r>
              <w:rPr>
                <w:rFonts w:ascii="Noto Serif CJK SC" w:hAnsi="Noto Serif CJK SC" w:eastAsia="Noto Serif CJK SC"/>
                <w:b/>
                <w:color w:val="143250"/>
                <w:sz w:val="21"/>
              </w:rPr>
              <w:t>Key distinction</w:t>
            </w:r>
          </w:p>
          <w:p w14:paraId="59A7E9CC">
            <w:pPr>
              <w:spacing w:after="0" w:line="269" w:lineRule="auto"/>
            </w:pPr>
            <w:r>
              <w:rPr>
                <w:rFonts w:ascii="Noto Serif CJK SC" w:hAnsi="Noto Serif CJK SC" w:eastAsia="Noto Serif CJK SC"/>
                <w:color w:val="282828"/>
                <w:sz w:val="20"/>
              </w:rPr>
              <w:t>Σ_l is a carrier layer for a discrete pre-spatial structure. A genuine discrete geometric interface must be further constructed on top of Σ_l.</w:t>
            </w:r>
          </w:p>
        </w:tc>
      </w:tr>
    </w:tbl>
    <w:p w14:paraId="7540B355">
      <w:pPr>
        <w:spacing w:after="40"/>
      </w:pPr>
    </w:p>
    <w:p w14:paraId="47393E4F">
      <w:pPr>
        <w:pStyle w:val="3"/>
        <w:spacing w:before="360" w:after="160"/>
      </w:pPr>
      <w:r>
        <w:rPr>
          <w:rFonts w:ascii="Noto Serif CJK SC" w:hAnsi="Noto Serif CJK SC" w:eastAsia="Noto Serif CJK SC"/>
          <w:b/>
          <w:color w:val="143250"/>
          <w:sz w:val="32"/>
        </w:rPr>
        <w:t>2. Input Objects and Notation</w:t>
      </w:r>
    </w:p>
    <w:p w14:paraId="30101E3D">
      <w:pPr>
        <w:spacing w:before="0" w:after="120" w:line="283" w:lineRule="auto"/>
      </w:pPr>
      <w:r>
        <w:rPr>
          <w:rFonts w:ascii="Noto Serif CJK SC" w:hAnsi="Noto Serif CJK SC" w:eastAsia="Noto Serif CJK SC"/>
          <w:sz w:val="21"/>
        </w:rPr>
        <w:t>Volume III only uses objects inherited from Volumes I and II. It must not import coordinates, Euclidean distance, a smooth manifold, or external time.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324"/>
        <w:gridCol w:w="4706"/>
      </w:tblGrid>
      <w:tr w14:paraId="2A3F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tcMar>
              <w:top w:w="120" w:type="dxa"/>
              <w:left w:w="120" w:type="dxa"/>
              <w:bottom w:w="120" w:type="dxa"/>
              <w:right w:w="120" w:type="dxa"/>
            </w:tcMar>
            <w:vAlign w:val="center"/>
          </w:tcPr>
          <w:p w14:paraId="2DEA8E59">
            <w:pPr>
              <w:spacing w:after="0" w:line="240" w:lineRule="auto"/>
              <w:jc w:val="center"/>
            </w:pPr>
            <w:r>
              <w:rPr>
                <w:rFonts w:ascii="Noto Serif CJK SC" w:hAnsi="Noto Serif CJK SC" w:eastAsia="Noto Serif CJK SC"/>
                <w:b/>
                <w:color w:val="143250"/>
                <w:sz w:val="18"/>
              </w:rPr>
              <w:t>Object</w:t>
            </w:r>
          </w:p>
        </w:tc>
        <w:tc>
          <w:tcPr>
            <w:tcW w:w="2324" w:type="dxa"/>
            <w:shd w:val="clear" w:color="auto" w:fill="D9EAF7"/>
            <w:tcMar>
              <w:top w:w="120" w:type="dxa"/>
              <w:left w:w="120" w:type="dxa"/>
              <w:bottom w:w="120" w:type="dxa"/>
              <w:right w:w="120" w:type="dxa"/>
            </w:tcMar>
            <w:vAlign w:val="center"/>
          </w:tcPr>
          <w:p w14:paraId="7BCC856A">
            <w:pPr>
              <w:spacing w:after="0" w:line="240" w:lineRule="auto"/>
              <w:jc w:val="center"/>
            </w:pPr>
            <w:r>
              <w:rPr>
                <w:rFonts w:ascii="Noto Serif CJK SC" w:hAnsi="Noto Serif CJK SC" w:eastAsia="Noto Serif CJK SC"/>
                <w:b/>
                <w:color w:val="143250"/>
                <w:sz w:val="18"/>
              </w:rPr>
              <w:t>Symbol</w:t>
            </w:r>
          </w:p>
        </w:tc>
        <w:tc>
          <w:tcPr>
            <w:tcW w:w="4706" w:type="dxa"/>
            <w:shd w:val="clear" w:color="auto" w:fill="D9EAF7"/>
            <w:tcMar>
              <w:top w:w="120" w:type="dxa"/>
              <w:left w:w="120" w:type="dxa"/>
              <w:bottom w:w="120" w:type="dxa"/>
              <w:right w:w="120" w:type="dxa"/>
            </w:tcMar>
            <w:vAlign w:val="center"/>
          </w:tcPr>
          <w:p w14:paraId="2226641E">
            <w:pPr>
              <w:spacing w:after="0" w:line="240" w:lineRule="auto"/>
              <w:jc w:val="center"/>
            </w:pPr>
            <w:r>
              <w:rPr>
                <w:rFonts w:ascii="Noto Serif CJK SC" w:hAnsi="Noto Serif CJK SC" w:eastAsia="Noto Serif CJK SC"/>
                <w:b/>
                <w:color w:val="143250"/>
                <w:sz w:val="18"/>
              </w:rPr>
              <w:t>Meaning</w:t>
            </w:r>
          </w:p>
        </w:tc>
      </w:tr>
      <w:tr w14:paraId="7A51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7949DE78">
            <w:pPr>
              <w:spacing w:after="0" w:line="240" w:lineRule="auto"/>
              <w:jc w:val="center"/>
            </w:pPr>
            <w:r>
              <w:rPr>
                <w:rFonts w:ascii="Noto Serif CJK SC" w:hAnsi="Noto Serif CJK SC" w:eastAsia="Noto Serif CJK SC"/>
                <w:sz w:val="17"/>
              </w:rPr>
              <w:t>Event set</w:t>
            </w:r>
          </w:p>
        </w:tc>
        <w:tc>
          <w:tcPr>
            <w:tcW w:w="2324" w:type="dxa"/>
            <w:tcMar>
              <w:top w:w="120" w:type="dxa"/>
              <w:left w:w="120" w:type="dxa"/>
              <w:bottom w:w="120" w:type="dxa"/>
              <w:right w:w="120" w:type="dxa"/>
            </w:tcMar>
            <w:vAlign w:val="center"/>
          </w:tcPr>
          <w:p w14:paraId="3357E4A0">
            <w:pPr>
              <w:spacing w:after="0" w:line="240" w:lineRule="auto"/>
              <w:jc w:val="left"/>
            </w:pPr>
            <w:r>
              <w:rPr>
                <w:rFonts w:ascii="Noto Serif CJK SC" w:hAnsi="Noto Serif CJK SC" w:eastAsia="Noto Serif CJK SC"/>
                <w:sz w:val="17"/>
              </w:rPr>
              <w:t>E={e₁,e₂,...,e_N}</w:t>
            </w:r>
          </w:p>
        </w:tc>
        <w:tc>
          <w:tcPr>
            <w:tcW w:w="4706" w:type="dxa"/>
            <w:tcMar>
              <w:top w:w="120" w:type="dxa"/>
              <w:left w:w="120" w:type="dxa"/>
              <w:bottom w:w="120" w:type="dxa"/>
              <w:right w:w="120" w:type="dxa"/>
            </w:tcMar>
            <w:vAlign w:val="center"/>
          </w:tcPr>
          <w:p w14:paraId="7A7E24F8">
            <w:pPr>
              <w:spacing w:after="0" w:line="240" w:lineRule="auto"/>
              <w:jc w:val="left"/>
            </w:pPr>
            <w:r>
              <w:rPr>
                <w:rFonts w:ascii="Noto Serif CJK SC" w:hAnsi="Noto Serif CJK SC" w:eastAsia="Noto Serif CJK SC"/>
                <w:sz w:val="17"/>
              </w:rPr>
              <w:t>Events abstracted from local updates, state rewrites, conflict resolution, or structural change.</w:t>
            </w:r>
          </w:p>
        </w:tc>
      </w:tr>
      <w:tr w14:paraId="7142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08E76469">
            <w:pPr>
              <w:spacing w:after="0" w:line="240" w:lineRule="auto"/>
              <w:jc w:val="left"/>
            </w:pPr>
            <w:r>
              <w:rPr>
                <w:rFonts w:ascii="Noto Serif CJK SC" w:hAnsi="Noto Serif CJK SC" w:eastAsia="Noto Serif CJK SC"/>
                <w:sz w:val="17"/>
              </w:rPr>
              <w:t>Causal order</w:t>
            </w:r>
          </w:p>
        </w:tc>
        <w:tc>
          <w:tcPr>
            <w:tcW w:w="2324" w:type="dxa"/>
            <w:tcMar>
              <w:top w:w="120" w:type="dxa"/>
              <w:left w:w="120" w:type="dxa"/>
              <w:bottom w:w="120" w:type="dxa"/>
              <w:right w:w="120" w:type="dxa"/>
            </w:tcMar>
            <w:vAlign w:val="center"/>
          </w:tcPr>
          <w:p w14:paraId="4106FF62">
            <w:pPr>
              <w:spacing w:after="0" w:line="240" w:lineRule="auto"/>
              <w:jc w:val="center"/>
            </w:pPr>
            <w:r>
              <w:rPr>
                <w:rFonts w:ascii="Noto Serif CJK SC" w:hAnsi="Noto Serif CJK SC" w:eastAsia="Noto Serif CJK SC"/>
                <w:sz w:val="17"/>
              </w:rPr>
              <w:t>≺</w:t>
            </w:r>
          </w:p>
        </w:tc>
        <w:tc>
          <w:tcPr>
            <w:tcW w:w="4706" w:type="dxa"/>
            <w:tcMar>
              <w:top w:w="120" w:type="dxa"/>
              <w:left w:w="120" w:type="dxa"/>
              <w:bottom w:w="120" w:type="dxa"/>
              <w:right w:w="120" w:type="dxa"/>
            </w:tcMar>
            <w:vAlign w:val="center"/>
          </w:tcPr>
          <w:p w14:paraId="3ADF71FC">
            <w:pPr>
              <w:spacing w:after="0" w:line="240" w:lineRule="auto"/>
              <w:jc w:val="left"/>
            </w:pPr>
            <w:r>
              <w:rPr>
                <w:rFonts w:ascii="Noto Serif CJK SC" w:hAnsi="Noto Serif CJK SC" w:eastAsia="Noto Serif CJK SC"/>
                <w:sz w:val="17"/>
              </w:rPr>
              <w:t>Internal dependency or causal precedence among events.</w:t>
            </w:r>
          </w:p>
        </w:tc>
      </w:tr>
      <w:tr w14:paraId="06676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19CCB194">
            <w:pPr>
              <w:spacing w:after="0" w:line="240" w:lineRule="auto"/>
              <w:jc w:val="left"/>
            </w:pPr>
            <w:r>
              <w:rPr>
                <w:rFonts w:ascii="Noto Serif CJK SC" w:hAnsi="Noto Serif CJK SC" w:eastAsia="Noto Serif CJK SC"/>
                <w:sz w:val="17"/>
              </w:rPr>
              <w:t>Causal slice</w:t>
            </w:r>
          </w:p>
        </w:tc>
        <w:tc>
          <w:tcPr>
            <w:tcW w:w="2324" w:type="dxa"/>
            <w:tcMar>
              <w:top w:w="120" w:type="dxa"/>
              <w:left w:w="120" w:type="dxa"/>
              <w:bottom w:w="120" w:type="dxa"/>
              <w:right w:w="120" w:type="dxa"/>
            </w:tcMar>
            <w:vAlign w:val="center"/>
          </w:tcPr>
          <w:p w14:paraId="2417995B">
            <w:pPr>
              <w:spacing w:after="0" w:line="240" w:lineRule="auto"/>
              <w:jc w:val="center"/>
            </w:pPr>
            <w:r>
              <w:rPr>
                <w:rFonts w:ascii="Noto Serif CJK SC" w:hAnsi="Noto Serif CJK SC" w:eastAsia="Noto Serif CJK SC"/>
                <w:sz w:val="17"/>
              </w:rPr>
              <w:t>Σ_l⊂E</w:t>
            </w:r>
          </w:p>
        </w:tc>
        <w:tc>
          <w:tcPr>
            <w:tcW w:w="4706" w:type="dxa"/>
            <w:tcMar>
              <w:top w:w="120" w:type="dxa"/>
              <w:left w:w="120" w:type="dxa"/>
              <w:bottom w:w="120" w:type="dxa"/>
              <w:right w:w="120" w:type="dxa"/>
            </w:tcMar>
            <w:vAlign w:val="center"/>
          </w:tcPr>
          <w:p w14:paraId="5116816F">
            <w:pPr>
              <w:spacing w:after="0" w:line="240" w:lineRule="auto"/>
              <w:jc w:val="left"/>
            </w:pPr>
            <w:r>
              <w:rPr>
                <w:rFonts w:ascii="Noto Serif CJK SC" w:hAnsi="Noto Serif CJK SC" w:eastAsia="Noto Serif CJK SC"/>
                <w:sz w:val="17"/>
              </w:rPr>
              <w:t>A same-layer maximal antichain or spatial-candidate layer from Volume II.</w:t>
            </w:r>
          </w:p>
        </w:tc>
      </w:tr>
      <w:tr w14:paraId="7D79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5EAE1046">
            <w:pPr>
              <w:spacing w:after="0" w:line="240" w:lineRule="auto"/>
              <w:jc w:val="left"/>
            </w:pPr>
            <w:r>
              <w:rPr>
                <w:rFonts w:ascii="Noto Serif CJK SC" w:hAnsi="Noto Serif CJK SC" w:eastAsia="Noto Serif CJK SC"/>
                <w:sz w:val="17"/>
              </w:rPr>
              <w:t>Local update trace</w:t>
            </w:r>
          </w:p>
        </w:tc>
        <w:tc>
          <w:tcPr>
            <w:tcW w:w="2324" w:type="dxa"/>
            <w:tcMar>
              <w:top w:w="120" w:type="dxa"/>
              <w:left w:w="120" w:type="dxa"/>
              <w:bottom w:w="120" w:type="dxa"/>
              <w:right w:w="120" w:type="dxa"/>
            </w:tcMar>
            <w:vAlign w:val="center"/>
          </w:tcPr>
          <w:p w14:paraId="787D3C4F">
            <w:pPr>
              <w:spacing w:after="0" w:line="240" w:lineRule="auto"/>
              <w:jc w:val="center"/>
            </w:pPr>
            <w:r>
              <w:rPr>
                <w:rFonts w:ascii="Noto Serif CJK SC" w:hAnsi="Noto Serif CJK SC" w:eastAsia="Noto Serif CJK SC"/>
                <w:sz w:val="17"/>
              </w:rPr>
              <w:t>U(e)</w:t>
            </w:r>
          </w:p>
        </w:tc>
        <w:tc>
          <w:tcPr>
            <w:tcW w:w="4706" w:type="dxa"/>
            <w:tcMar>
              <w:top w:w="120" w:type="dxa"/>
              <w:left w:w="120" w:type="dxa"/>
              <w:bottom w:w="120" w:type="dxa"/>
              <w:right w:w="120" w:type="dxa"/>
            </w:tcMar>
            <w:vAlign w:val="center"/>
          </w:tcPr>
          <w:p w14:paraId="2D58ED12">
            <w:pPr>
              <w:spacing w:after="0" w:line="240" w:lineRule="auto"/>
              <w:jc w:val="left"/>
            </w:pPr>
            <w:r>
              <w:rPr>
                <w:rFonts w:ascii="Noto Serif CJK SC" w:hAnsi="Noto Serif CJK SC" w:eastAsia="Noto Serif CJK SC"/>
                <w:sz w:val="17"/>
              </w:rPr>
              <w:t>The action trace of an event in the underlying relational network; not a spatial position.</w:t>
            </w:r>
          </w:p>
        </w:tc>
      </w:tr>
      <w:tr w14:paraId="534B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57860ADC">
            <w:pPr>
              <w:spacing w:after="0" w:line="240" w:lineRule="auto"/>
              <w:jc w:val="left"/>
            </w:pPr>
            <w:r>
              <w:rPr>
                <w:rFonts w:ascii="Noto Serif CJK SC" w:hAnsi="Noto Serif CJK SC" w:eastAsia="Noto Serif CJK SC"/>
                <w:sz w:val="17"/>
              </w:rPr>
              <w:t>Comparison-chain dependency</w:t>
            </w:r>
          </w:p>
        </w:tc>
        <w:tc>
          <w:tcPr>
            <w:tcW w:w="2324" w:type="dxa"/>
            <w:tcMar>
              <w:top w:w="120" w:type="dxa"/>
              <w:left w:w="120" w:type="dxa"/>
              <w:bottom w:w="120" w:type="dxa"/>
              <w:right w:w="120" w:type="dxa"/>
            </w:tcMar>
            <w:vAlign w:val="center"/>
          </w:tcPr>
          <w:p w14:paraId="4BB4BF16">
            <w:pPr>
              <w:spacing w:after="0" w:line="240" w:lineRule="auto"/>
              <w:jc w:val="center"/>
            </w:pPr>
            <w:r>
              <w:rPr>
                <w:rFonts w:ascii="Noto Serif CJK SC" w:hAnsi="Noto Serif CJK SC" w:eastAsia="Noto Serif CJK SC"/>
                <w:sz w:val="17"/>
              </w:rPr>
              <w:t>C(e_i,e_j)</w:t>
            </w:r>
          </w:p>
        </w:tc>
        <w:tc>
          <w:tcPr>
            <w:tcW w:w="4706" w:type="dxa"/>
            <w:tcMar>
              <w:top w:w="120" w:type="dxa"/>
              <w:left w:w="120" w:type="dxa"/>
              <w:bottom w:w="120" w:type="dxa"/>
              <w:right w:w="120" w:type="dxa"/>
            </w:tcMar>
            <w:vAlign w:val="center"/>
          </w:tcPr>
          <w:p w14:paraId="3959C996">
            <w:pPr>
              <w:spacing w:after="0" w:line="240" w:lineRule="auto"/>
              <w:jc w:val="left"/>
            </w:pPr>
            <w:r>
              <w:rPr>
                <w:rFonts w:ascii="Noto Serif CJK SC" w:hAnsi="Noto Serif CJK SC" w:eastAsia="Noto Serif CJK SC"/>
                <w:sz w:val="17"/>
              </w:rPr>
              <w:t>Used to evaluate common past, common future, candidate conflict, and structural interference.</w:t>
            </w:r>
          </w:p>
        </w:tc>
      </w:tr>
    </w:tbl>
    <w:p w14:paraId="6BF3F39B">
      <w:pPr>
        <w:spacing w:after="120"/>
      </w:pPr>
    </w:p>
    <w:p w14:paraId="289A5FE4">
      <w:pPr>
        <w:pStyle w:val="4"/>
        <w:spacing w:before="240" w:after="120"/>
      </w:pPr>
      <w:r>
        <w:rPr>
          <w:rFonts w:ascii="Noto Serif CJK SC" w:hAnsi="Noto Serif CJK SC" w:eastAsia="Noto Serif CJK SC"/>
          <w:b/>
          <w:color w:val="1F4E79"/>
          <w:sz w:val="26"/>
        </w:rPr>
        <w:t>2.1 Past and future neighborhoods</w:t>
      </w:r>
    </w:p>
    <w:p w14:paraId="296086FC">
      <w:pPr>
        <w:spacing w:before="40" w:after="160"/>
        <w:jc w:val="center"/>
      </w:pPr>
      <w:r>
        <w:rPr>
          <w:rFonts w:ascii="Noto Serif CJK SC" w:hAnsi="Noto Serif CJK SC" w:eastAsia="Noto Serif CJK SC"/>
          <w:color w:val="143250"/>
          <w:sz w:val="21"/>
        </w:rPr>
        <w:t>Past_r(e) = {x∈E | x≺e,  ℓ(x,e)≤r}</w:t>
      </w:r>
    </w:p>
    <w:p w14:paraId="35327CD6">
      <w:pPr>
        <w:spacing w:before="40" w:after="160"/>
        <w:jc w:val="center"/>
      </w:pPr>
      <w:r>
        <w:rPr>
          <w:rFonts w:ascii="Noto Serif CJK SC" w:hAnsi="Noto Serif CJK SC" w:eastAsia="Noto Serif CJK SC"/>
          <w:color w:val="143250"/>
          <w:sz w:val="21"/>
        </w:rPr>
        <w:t>Future_r(e) = {y∈E | e≺y,  ℓ(e,y)≤r}</w:t>
      </w:r>
    </w:p>
    <w:p w14:paraId="6E62ED35">
      <w:pPr>
        <w:spacing w:before="0" w:after="120" w:line="283" w:lineRule="auto"/>
      </w:pPr>
      <w:r>
        <w:rPr>
          <w:rFonts w:ascii="Noto Serif CJK SC" w:hAnsi="Noto Serif CJK SC" w:eastAsia="Noto Serif CJK SC"/>
          <w:sz w:val="21"/>
        </w:rPr>
        <w:t>Here ℓ denotes the shortest causal-chain length in the causal-order graph. It is not a spatial distance.</w:t>
      </w:r>
    </w:p>
    <w:p w14:paraId="76DAF097">
      <w:pPr>
        <w:pStyle w:val="3"/>
        <w:spacing w:before="360" w:after="160"/>
      </w:pPr>
      <w:r>
        <w:rPr>
          <w:rFonts w:ascii="Noto Serif CJK SC" w:hAnsi="Noto Serif CJK SC" w:eastAsia="Noto Serif CJK SC"/>
          <w:b/>
          <w:color w:val="143250"/>
          <w:sz w:val="32"/>
        </w:rPr>
        <w:t>3. Construction of Slice Adjacency</w:t>
      </w:r>
    </w:p>
    <w:p w14:paraId="7A74BEC9">
      <w:pPr>
        <w:spacing w:before="0" w:after="120" w:line="283" w:lineRule="auto"/>
      </w:pPr>
      <w:r>
        <w:rPr>
          <w:rFonts w:ascii="Noto Serif CJK SC" w:hAnsi="Noto Serif CJK SC" w:eastAsia="Noto Serif CJK SC"/>
          <w:sz w:val="21"/>
        </w:rPr>
        <w:t>For e_i,e_j∈Σ_l, direct causal precedence usually does not exist because they belong to the same maximal antichain. Hence adjacency cannot be defined by direct causal order or by Euclidean distance. Volume III defines spatial adjacency as structural adjacency derived from causal and local-update relations.</w:t>
      </w:r>
    </w:p>
    <w:p w14:paraId="1A36902A">
      <w:pPr>
        <w:pStyle w:val="4"/>
        <w:spacing w:before="240" w:after="120"/>
      </w:pPr>
      <w:r>
        <w:rPr>
          <w:rFonts w:ascii="Noto Serif CJK SC" w:hAnsi="Noto Serif CJK SC" w:eastAsia="Noto Serif CJK SC"/>
          <w:b/>
          <w:color w:val="1F4E79"/>
          <w:sz w:val="26"/>
        </w:rPr>
        <w:t>3.1 Common-past adjacency</w:t>
      </w:r>
    </w:p>
    <w:p w14:paraId="28C44C97">
      <w:pPr>
        <w:spacing w:before="40" w:after="160"/>
        <w:jc w:val="center"/>
      </w:pPr>
      <w:r>
        <w:rPr>
          <w:rFonts w:ascii="Noto Serif CJK SC" w:hAnsi="Noto Serif CJK SC" w:eastAsia="Noto Serif CJK SC"/>
          <w:color w:val="143250"/>
          <w:sz w:val="21"/>
        </w:rPr>
        <w:t>S_pre^(r)(e_i,e_j) = |Past_r(e_i)∩Past_r(e_j)| / (|Past_r(e_i)∪Past_r(e_j)| + ε)</w:t>
      </w:r>
    </w:p>
    <w:p w14:paraId="7830C817">
      <w:pPr>
        <w:spacing w:before="40" w:after="160"/>
        <w:jc w:val="center"/>
      </w:pPr>
      <w:r>
        <w:rPr>
          <w:rFonts w:ascii="Noto Serif CJK SC" w:hAnsi="Noto Serif CJK SC" w:eastAsia="Noto Serif CJK SC"/>
          <w:color w:val="143250"/>
          <w:sz w:val="21"/>
        </w:rPr>
        <w:t>A_pre^(r)(e_i,e_j) = 1[ S_pre^(r)(e_i,e_j) ≥ θ_pre ]</w:t>
      </w:r>
    </w:p>
    <w:p w14:paraId="11C5D5DB">
      <w:pPr>
        <w:spacing w:before="0" w:after="120" w:line="283" w:lineRule="auto"/>
      </w:pPr>
      <w:r>
        <w:rPr>
          <w:rFonts w:ascii="Noto Serif CJK SC" w:hAnsi="Noto Serif CJK SC" w:eastAsia="Noto Serif CJK SC"/>
          <w:sz w:val="21"/>
        </w:rPr>
        <w:t>If two same-layer events share enough causal ancestors within a given causal depth, they are close in structural origin.</w:t>
      </w:r>
    </w:p>
    <w:p w14:paraId="5ACDC187">
      <w:pPr>
        <w:pStyle w:val="4"/>
        <w:spacing w:before="240" w:after="120"/>
      </w:pPr>
      <w:r>
        <w:rPr>
          <w:rFonts w:ascii="Noto Serif CJK SC" w:hAnsi="Noto Serif CJK SC" w:eastAsia="Noto Serif CJK SC"/>
          <w:b/>
          <w:color w:val="1F4E79"/>
          <w:sz w:val="26"/>
        </w:rPr>
        <w:t>3.2 Common-future adjacency</w:t>
      </w:r>
    </w:p>
    <w:p w14:paraId="17793AC8">
      <w:pPr>
        <w:spacing w:before="40" w:after="160"/>
        <w:jc w:val="center"/>
      </w:pPr>
      <w:r>
        <w:rPr>
          <w:rFonts w:ascii="Noto Serif CJK SC" w:hAnsi="Noto Serif CJK SC" w:eastAsia="Noto Serif CJK SC"/>
          <w:color w:val="143250"/>
          <w:sz w:val="21"/>
        </w:rPr>
        <w:t>S_post^(r)(e_i,e_j) = |Future_r(e_i)∩Future_r(e_j)| / (|Future_r(e_i)∪Future_r(e_j)| + ε)</w:t>
      </w:r>
    </w:p>
    <w:p w14:paraId="2CCFB508">
      <w:pPr>
        <w:spacing w:before="40" w:after="160"/>
        <w:jc w:val="center"/>
      </w:pPr>
      <w:r>
        <w:rPr>
          <w:rFonts w:ascii="Noto Serif CJK SC" w:hAnsi="Noto Serif CJK SC" w:eastAsia="Noto Serif CJK SC"/>
          <w:color w:val="143250"/>
          <w:sz w:val="21"/>
        </w:rPr>
        <w:t>A_post^(r)(e_i,e_j) = 1[ S_post^(r)(e_i,e_j) ≥ θ_post ]</w:t>
      </w:r>
    </w:p>
    <w:p w14:paraId="0086E91B">
      <w:pPr>
        <w:spacing w:before="0" w:after="120" w:line="283" w:lineRule="auto"/>
      </w:pPr>
      <w:r>
        <w:rPr>
          <w:rFonts w:ascii="Noto Serif CJK SC" w:hAnsi="Noto Serif CJK SC" w:eastAsia="Noto Serif CJK SC"/>
          <w:sz w:val="21"/>
        </w:rPr>
        <w:t>If two events jointly influence future events, they are close in structural effect.</w:t>
      </w:r>
    </w:p>
    <w:p w14:paraId="6F1F1C19">
      <w:pPr>
        <w:pStyle w:val="4"/>
        <w:spacing w:before="240" w:after="120"/>
      </w:pPr>
      <w:r>
        <w:rPr>
          <w:rFonts w:ascii="Noto Serif CJK SC" w:hAnsi="Noto Serif CJK SC" w:eastAsia="Noto Serif CJK SC"/>
          <w:b/>
          <w:color w:val="1F4E79"/>
          <w:sz w:val="26"/>
        </w:rPr>
        <w:t>3.3 Local-update overlap adjacency</w:t>
      </w:r>
    </w:p>
    <w:p w14:paraId="4521F26B">
      <w:pPr>
        <w:spacing w:before="40" w:after="160"/>
        <w:jc w:val="center"/>
      </w:pPr>
      <w:r>
        <w:rPr>
          <w:rFonts w:ascii="Noto Serif CJK SC" w:hAnsi="Noto Serif CJK SC" w:eastAsia="Noto Serif CJK SC"/>
          <w:color w:val="143250"/>
          <w:sz w:val="21"/>
        </w:rPr>
        <w:t>S_upd(e_i,e_j) = |U(e_i)∩U(e_j)| / (|U(e_i)∪U(e_j)| + ε)</w:t>
      </w:r>
    </w:p>
    <w:p w14:paraId="08A12899">
      <w:pPr>
        <w:spacing w:before="40" w:after="160"/>
        <w:jc w:val="center"/>
      </w:pPr>
      <w:r>
        <w:rPr>
          <w:rFonts w:ascii="Noto Serif CJK SC" w:hAnsi="Noto Serif CJK SC" w:eastAsia="Noto Serif CJK SC"/>
          <w:color w:val="143250"/>
          <w:sz w:val="21"/>
        </w:rPr>
        <w:t>A_upd(e_i,e_j) = 1[ S_upd(e_i,e_j) ≥ θ_upd ]</w:t>
      </w:r>
    </w:p>
    <w:p w14:paraId="338ED0B0">
      <w:pPr>
        <w:pStyle w:val="4"/>
        <w:spacing w:before="240" w:after="120"/>
      </w:pPr>
      <w:r>
        <w:rPr>
          <w:rFonts w:ascii="Noto Serif CJK SC" w:hAnsi="Noto Serif CJK SC" w:eastAsia="Noto Serif CJK SC"/>
          <w:b/>
          <w:color w:val="1F4E79"/>
          <w:sz w:val="26"/>
        </w:rPr>
        <w:t>3.4 Interference adjacency and total adjacency</w:t>
      </w:r>
    </w:p>
    <w:p w14:paraId="4A2B2511">
      <w:pPr>
        <w:spacing w:before="40" w:after="160"/>
        <w:jc w:val="center"/>
      </w:pPr>
      <w:r>
        <w:rPr>
          <w:rFonts w:ascii="Noto Serif CJK SC" w:hAnsi="Noto Serif CJK SC" w:eastAsia="Noto Serif CJK SC"/>
          <w:color w:val="143250"/>
          <w:sz w:val="21"/>
        </w:rPr>
        <w:t>A_int(e_i,e_j) = 1[ S_int(e_i,e_j) ≥ θ_int ]</w:t>
      </w:r>
    </w:p>
    <w:p w14:paraId="76CCE5B7">
      <w:pPr>
        <w:spacing w:before="40" w:after="160"/>
        <w:jc w:val="center"/>
      </w:pPr>
      <w:r>
        <w:rPr>
          <w:rFonts w:ascii="Noto Serif CJK SC" w:hAnsi="Noto Serif CJK SC" w:eastAsia="Noto Serif CJK SC"/>
          <w:color w:val="143250"/>
          <w:sz w:val="21"/>
        </w:rPr>
        <w:t>S_Σ(e_i,e_j)=w₁S_pre^(r)+w₂S_post^(r)+w₃S_upd+w₄S_int,   Σw_k=1</w:t>
      </w:r>
    </w:p>
    <w:p w14:paraId="79AE0B0A">
      <w:pPr>
        <w:spacing w:before="40" w:after="160"/>
        <w:jc w:val="center"/>
      </w:pPr>
      <w:r>
        <w:rPr>
          <w:rFonts w:ascii="Noto Serif CJK SC" w:hAnsi="Noto Serif CJK SC" w:eastAsia="Noto Serif CJK SC"/>
          <w:color w:val="143250"/>
          <w:sz w:val="21"/>
        </w:rPr>
        <w:t>A_Σ(e_i,e_j)=1[ S_Σ(e_i,e_j) ≥ Θ_A ],   A_Σ(e_i,e_i)=0</w:t>
      </w:r>
    </w:p>
    <w:tbl>
      <w:tblPr>
        <w:tblStyle w:val="32"/>
        <w:tblW w:w="0" w:type="auto"/>
        <w:jc w:val="center"/>
        <w:tblLayout w:type="autofit"/>
        <w:tblCellMar>
          <w:top w:w="0" w:type="dxa"/>
          <w:left w:w="108" w:type="dxa"/>
          <w:bottom w:w="0" w:type="dxa"/>
          <w:right w:w="108" w:type="dxa"/>
        </w:tblCellMar>
      </w:tblPr>
      <w:tblGrid>
        <w:gridCol w:w="9576"/>
      </w:tblGrid>
      <w:tr w14:paraId="057BC124">
        <w:tblPrEx>
          <w:tblCellMar>
            <w:top w:w="0" w:type="dxa"/>
            <w:left w:w="108" w:type="dxa"/>
            <w:bottom w:w="0" w:type="dxa"/>
            <w:right w:w="108" w:type="dxa"/>
          </w:tblCellMar>
        </w:tblPrEx>
        <w:trPr>
          <w:jc w:val="center"/>
        </w:trPr>
        <w:tc>
          <w:tcPr>
            <w:tcW w:w="9576" w:type="dxa"/>
            <w:shd w:val="clear" w:color="auto" w:fill="EAF3F8"/>
            <w:tcMar>
              <w:top w:w="180" w:type="dxa"/>
              <w:left w:w="220" w:type="dxa"/>
              <w:bottom w:w="180" w:type="dxa"/>
              <w:right w:w="220" w:type="dxa"/>
            </w:tcMar>
          </w:tcPr>
          <w:p w14:paraId="31042F96">
            <w:pPr>
              <w:spacing w:after="60"/>
            </w:pPr>
            <w:r>
              <w:rPr>
                <w:rFonts w:ascii="Noto Serif CJK SC" w:hAnsi="Noto Serif CJK SC" w:eastAsia="Noto Serif CJK SC"/>
                <w:b/>
                <w:color w:val="143250"/>
                <w:sz w:val="21"/>
              </w:rPr>
              <w:t>Legality</w:t>
            </w:r>
          </w:p>
          <w:p w14:paraId="49C439D0">
            <w:pPr>
              <w:spacing w:after="0" w:line="269" w:lineRule="auto"/>
            </w:pPr>
            <w:r>
              <w:rPr>
                <w:rFonts w:ascii="Noto Serif CJK SC" w:hAnsi="Noto Serif CJK SC" w:eastAsia="Noto Serif CJK SC"/>
                <w:color w:val="282828"/>
                <w:sz w:val="20"/>
              </w:rPr>
              <w:t>This adjacency relation uses only causal predecessors, causal successors, local update traces, and interference relations. It does not use coordinates, Euclidean distance, smooth manifolds, or a pre-given metric.</w:t>
            </w:r>
          </w:p>
        </w:tc>
      </w:tr>
    </w:tbl>
    <w:p w14:paraId="7715CCAE">
      <w:pPr>
        <w:spacing w:after="40"/>
      </w:pPr>
    </w:p>
    <w:p w14:paraId="55FF2160">
      <w:pPr>
        <w:pStyle w:val="3"/>
        <w:spacing w:before="360" w:after="160"/>
      </w:pPr>
      <w:r>
        <w:rPr>
          <w:rFonts w:ascii="Noto Serif CJK SC" w:hAnsi="Noto Serif CJK SC" w:eastAsia="Noto Serif CJK SC"/>
          <w:b/>
          <w:color w:val="143250"/>
          <w:sz w:val="32"/>
        </w:rPr>
        <w:t>4. Slice Graph and Path Structure</w:t>
      </w:r>
    </w:p>
    <w:p w14:paraId="419DE19B">
      <w:pPr>
        <w:spacing w:before="40" w:after="160"/>
        <w:jc w:val="center"/>
      </w:pPr>
      <w:r>
        <w:rPr>
          <w:rFonts w:ascii="Noto Serif CJK SC" w:hAnsi="Noto Serif CJK SC" w:eastAsia="Noto Serif CJK SC"/>
          <w:color w:val="143250"/>
          <w:sz w:val="21"/>
        </w:rPr>
        <w:t>G_{Σ_l} = (V_l,E_l),   V_l=Σ_l,   E_l={(e_i,e_j)|A_Σ(e_i,e_j)=1}</w:t>
      </w:r>
    </w:p>
    <w:p w14:paraId="0A0288F6">
      <w:pPr>
        <w:spacing w:before="0" w:after="120" w:line="283" w:lineRule="auto"/>
      </w:pPr>
      <w:r>
        <w:rPr>
          <w:rFonts w:ascii="Noto Serif CJK SC" w:hAnsi="Noto Serif CJK SC" w:eastAsia="Noto Serif CJK SC"/>
          <w:sz w:val="21"/>
        </w:rPr>
        <w:t>The R1.0 version treats G_{Σ_l} as an undirected graph because same-layer adjacency is not causal direction. Later versions may extend it to directed or weighted relational graphs when update costs or interference are asymmetric.</w:t>
      </w:r>
    </w:p>
    <w:p w14:paraId="0ADF4E6E">
      <w:pPr>
        <w:pStyle w:val="4"/>
        <w:spacing w:before="240" w:after="120"/>
      </w:pPr>
      <w:r>
        <w:rPr>
          <w:rFonts w:ascii="Noto Serif CJK SC" w:hAnsi="Noto Serif CJK SC" w:eastAsia="Noto Serif CJK SC"/>
          <w:b/>
          <w:color w:val="1F4E79"/>
          <w:sz w:val="26"/>
        </w:rPr>
        <w:t>4.1 Edge-cost function</w:t>
      </w:r>
    </w:p>
    <w:p w14:paraId="11DE585F">
      <w:pPr>
        <w:spacing w:before="40" w:after="160"/>
        <w:jc w:val="center"/>
      </w:pPr>
      <w:r>
        <w:rPr>
          <w:rFonts w:ascii="Noto Serif CJK SC" w:hAnsi="Noto Serif CJK SC" w:eastAsia="Noto Serif CJK SC"/>
          <w:color w:val="143250"/>
          <w:sz w:val="21"/>
        </w:rPr>
        <w:t>c_I(e_i,e_j)&gt;0</w:t>
      </w:r>
    </w:p>
    <w:p w14:paraId="2DC007FF">
      <w:pPr>
        <w:spacing w:before="40" w:after="160"/>
        <w:jc w:val="center"/>
      </w:pPr>
      <w:r>
        <w:rPr>
          <w:rFonts w:ascii="Noto Serif CJK SC" w:hAnsi="Noto Serif CJK SC" w:eastAsia="Noto Serif CJK SC"/>
          <w:color w:val="143250"/>
          <w:sz w:val="21"/>
        </w:rPr>
        <w:t>c_I(e_i,e_j)=1/(S_Σ(e_i,e_j)+ε)   or   c_I(e_i,e_j)=1-S_Σ(e_i,e_j)+ε</w:t>
      </w:r>
    </w:p>
    <w:p w14:paraId="57673CC7">
      <w:pPr>
        <w:spacing w:before="40" w:after="160"/>
        <w:jc w:val="center"/>
      </w:pPr>
      <w:r>
        <w:rPr>
          <w:rFonts w:ascii="Noto Serif CJK SC" w:hAnsi="Noto Serif CJK SC" w:eastAsia="Noto Serif CJK SC"/>
          <w:color w:val="143250"/>
          <w:sz w:val="21"/>
        </w:rPr>
        <w:t>A_Σ(e_i,e_j)=0  ⇒  c_I(e_i,e_j)=+∞</w:t>
      </w:r>
    </w:p>
    <w:p w14:paraId="55BA29B4">
      <w:pPr>
        <w:pStyle w:val="4"/>
        <w:spacing w:before="240" w:after="120"/>
      </w:pPr>
      <w:r>
        <w:rPr>
          <w:rFonts w:ascii="Noto Serif CJK SC" w:hAnsi="Noto Serif CJK SC" w:eastAsia="Noto Serif CJK SC"/>
          <w:b/>
          <w:color w:val="1F4E79"/>
          <w:sz w:val="26"/>
        </w:rPr>
        <w:t>4.2 Paths and path costs</w:t>
      </w:r>
    </w:p>
    <w:p w14:paraId="2EA7BC56">
      <w:pPr>
        <w:spacing w:before="40" w:after="160"/>
        <w:jc w:val="center"/>
      </w:pPr>
      <w:r>
        <w:rPr>
          <w:rFonts w:ascii="Noto Serif CJK SC" w:hAnsi="Noto Serif CJK SC" w:eastAsia="Noto Serif CJK SC"/>
          <w:color w:val="143250"/>
          <w:sz w:val="21"/>
        </w:rPr>
        <w:t>γ: e_a=e₀ → e₁ → ... → e_k=e_b</w:t>
      </w:r>
    </w:p>
    <w:p w14:paraId="2468CEE4">
      <w:pPr>
        <w:spacing w:before="40" w:after="160"/>
        <w:jc w:val="center"/>
      </w:pPr>
      <w:r>
        <w:rPr>
          <w:rFonts w:ascii="Noto Serif CJK SC" w:hAnsi="Noto Serif CJK SC" w:eastAsia="Noto Serif CJK SC"/>
          <w:color w:val="143250"/>
          <w:sz w:val="21"/>
        </w:rPr>
        <w:t>C_I(γ)=Σ_{s=0}^{k-1} c_I(e_s,e_{s+1})</w:t>
      </w:r>
    </w:p>
    <w:p w14:paraId="52957F6F">
      <w:pPr>
        <w:pStyle w:val="3"/>
        <w:spacing w:before="360" w:after="160"/>
      </w:pPr>
      <w:r>
        <w:rPr>
          <w:rFonts w:ascii="Noto Serif CJK SC" w:hAnsi="Noto Serif CJK SC" w:eastAsia="Noto Serif CJK SC"/>
          <w:b/>
          <w:color w:val="143250"/>
          <w:sz w:val="32"/>
        </w:rPr>
        <w:t>5. Distance Proxy d_I*</w:t>
      </w:r>
    </w:p>
    <w:p w14:paraId="77788B8F">
      <w:pPr>
        <w:spacing w:before="40" w:after="160"/>
        <w:jc w:val="center"/>
      </w:pPr>
      <w:r>
        <w:rPr>
          <w:rFonts w:ascii="Noto Serif CJK SC" w:hAnsi="Noto Serif CJK SC" w:eastAsia="Noto Serif CJK SC"/>
          <w:color w:val="143250"/>
          <w:sz w:val="21"/>
        </w:rPr>
        <w:t>d_I*(e_a,e_b)=min_{γ:e_a→e_b} C_I(γ)</w:t>
      </w:r>
    </w:p>
    <w:p w14:paraId="4598D526">
      <w:pPr>
        <w:spacing w:before="40" w:after="160"/>
        <w:jc w:val="center"/>
      </w:pPr>
      <w:r>
        <w:rPr>
          <w:rFonts w:ascii="Noto Serif CJK SC" w:hAnsi="Noto Serif CJK SC" w:eastAsia="Noto Serif CJK SC"/>
          <w:color w:val="143250"/>
          <w:sz w:val="21"/>
        </w:rPr>
        <w:t>If no path exists, then d_I*(e_a,e_b)=+∞</w:t>
      </w:r>
    </w:p>
    <w:p w14:paraId="1E041163">
      <w:pPr>
        <w:spacing w:before="0" w:after="120" w:line="283" w:lineRule="auto"/>
      </w:pPr>
      <w:r>
        <w:rPr>
          <w:rFonts w:ascii="Noto Serif CJK SC" w:hAnsi="Noto Serif CJK SC" w:eastAsia="Noto Serif CJK SC"/>
          <w:sz w:val="21"/>
        </w:rPr>
        <w:t>When all edge costs are positive and the slice graph is undirected, d_I* satisfies non-negativity, zero self-distance, symmetry, and the triangle inequality within each connected component. It is therefore a metric-like discrete proxy.</w:t>
      </w:r>
    </w:p>
    <w:p w14:paraId="5DF126C1">
      <w:pPr>
        <w:pStyle w:val="4"/>
        <w:spacing w:before="240" w:after="120"/>
      </w:pPr>
      <w:r>
        <w:rPr>
          <w:rFonts w:ascii="Noto Serif CJK SC" w:hAnsi="Noto Serif CJK SC" w:eastAsia="Noto Serif CJK SC"/>
          <w:b/>
          <w:color w:val="1F4E79"/>
          <w:sz w:val="26"/>
        </w:rPr>
        <w:t>5.1 Triangle inequality proof sketch</w:t>
      </w:r>
    </w:p>
    <w:p w14:paraId="03D54427">
      <w:pPr>
        <w:spacing w:before="0" w:after="120" w:line="283" w:lineRule="auto"/>
      </w:pPr>
      <w:r>
        <w:rPr>
          <w:rFonts w:ascii="Noto Serif CJK SC" w:hAnsi="Noto Serif CJK SC" w:eastAsia="Noto Serif CJK SC"/>
          <w:sz w:val="21"/>
        </w:rPr>
        <w:t>Let γ_ab be the minimum-cost path from e_a to e_b, and γ_bc the minimum-cost path from e_b to e_c. Concatenating them yields γ_ac=γ_ab∘γ_bc. Since d_I*(e_a,e_c) is the minimum over all paths from e_a to e_c, one obtains:</w:t>
      </w:r>
    </w:p>
    <w:p w14:paraId="0D46CEEC">
      <w:pPr>
        <w:spacing w:before="40" w:after="160"/>
        <w:jc w:val="center"/>
      </w:pPr>
      <w:r>
        <w:rPr>
          <w:rFonts w:ascii="Noto Serif CJK SC" w:hAnsi="Noto Serif CJK SC" w:eastAsia="Noto Serif CJK SC"/>
          <w:color w:val="143250"/>
          <w:sz w:val="21"/>
        </w:rPr>
        <w:t>d_I*(e_a,e_c) ≤ d_I*(e_a,e_b)+d_I*(e_b,e_c)</w:t>
      </w:r>
    </w:p>
    <w:tbl>
      <w:tblPr>
        <w:tblStyle w:val="32"/>
        <w:tblW w:w="0" w:type="auto"/>
        <w:jc w:val="center"/>
        <w:tblLayout w:type="autofit"/>
        <w:tblCellMar>
          <w:top w:w="0" w:type="dxa"/>
          <w:left w:w="108" w:type="dxa"/>
          <w:bottom w:w="0" w:type="dxa"/>
          <w:right w:w="108" w:type="dxa"/>
        </w:tblCellMar>
      </w:tblPr>
      <w:tblGrid>
        <w:gridCol w:w="9576"/>
      </w:tblGrid>
      <w:tr w14:paraId="725DD1E8">
        <w:tblPrEx>
          <w:tblCellMar>
            <w:top w:w="0" w:type="dxa"/>
            <w:left w:w="108" w:type="dxa"/>
            <w:bottom w:w="0" w:type="dxa"/>
            <w:right w:w="108" w:type="dxa"/>
          </w:tblCellMar>
        </w:tblPrEx>
        <w:trPr>
          <w:jc w:val="center"/>
        </w:trPr>
        <w:tc>
          <w:tcPr>
            <w:tcW w:w="9576" w:type="dxa"/>
            <w:shd w:val="clear" w:color="auto" w:fill="EAF3F8"/>
            <w:tcMar>
              <w:top w:w="180" w:type="dxa"/>
              <w:left w:w="220" w:type="dxa"/>
              <w:bottom w:w="180" w:type="dxa"/>
              <w:right w:w="220" w:type="dxa"/>
            </w:tcMar>
          </w:tcPr>
          <w:p w14:paraId="761E00C7">
            <w:pPr>
              <w:spacing w:after="60"/>
            </w:pPr>
            <w:r>
              <w:rPr>
                <w:rFonts w:ascii="Noto Serif CJK SC" w:hAnsi="Noto Serif CJK SC" w:eastAsia="Noto Serif CJK SC"/>
                <w:b/>
                <w:color w:val="143250"/>
                <w:sz w:val="21"/>
              </w:rPr>
              <w:t>Boundary statement</w:t>
            </w:r>
          </w:p>
          <w:p w14:paraId="48B2FDE8">
            <w:pPr>
              <w:spacing w:after="0" w:line="269" w:lineRule="auto"/>
            </w:pPr>
            <w:r>
              <w:rPr>
                <w:rFonts w:ascii="Noto Serif CJK SC" w:hAnsi="Noto Serif CJK SC" w:eastAsia="Noto Serif CJK SC"/>
                <w:color w:val="282828"/>
                <w:sz w:val="20"/>
              </w:rPr>
              <w:t>d_I* is not a physical distance in a continuous space. It is the minimum relational path cost on a slice adjacency graph.</w:t>
            </w:r>
          </w:p>
        </w:tc>
      </w:tr>
    </w:tbl>
    <w:p w14:paraId="7AF400EC">
      <w:pPr>
        <w:spacing w:after="40"/>
      </w:pPr>
    </w:p>
    <w:p w14:paraId="32E402B1">
      <w:pPr>
        <w:pStyle w:val="3"/>
        <w:spacing w:before="360" w:after="160"/>
      </w:pPr>
      <w:r>
        <w:rPr>
          <w:rFonts w:ascii="Noto Serif CJK SC" w:hAnsi="Noto Serif CJK SC" w:eastAsia="Noto Serif CJK SC"/>
          <w:b/>
          <w:color w:val="143250"/>
          <w:sz w:val="32"/>
        </w:rPr>
        <w:t>6. Distance Balls and Volume Growth</w:t>
      </w:r>
    </w:p>
    <w:p w14:paraId="432DD5F7">
      <w:pPr>
        <w:spacing w:before="40" w:after="160"/>
        <w:jc w:val="center"/>
      </w:pPr>
      <w:r>
        <w:rPr>
          <w:rFonts w:ascii="Noto Serif CJK SC" w:hAnsi="Noto Serif CJK SC" w:eastAsia="Noto Serif CJK SC"/>
          <w:color w:val="143250"/>
          <w:sz w:val="21"/>
        </w:rPr>
        <w:t>B_I(e,r)={x∈Σ_l | d_I*(e,x)≤r}</w:t>
      </w:r>
    </w:p>
    <w:p w14:paraId="5E336BB2">
      <w:pPr>
        <w:spacing w:before="40" w:after="160"/>
        <w:jc w:val="center"/>
      </w:pPr>
      <w:r>
        <w:rPr>
          <w:rFonts w:ascii="Noto Serif CJK SC" w:hAnsi="Noto Serif CJK SC" w:eastAsia="Noto Serif CJK SC"/>
          <w:color w:val="143250"/>
          <w:sz w:val="21"/>
        </w:rPr>
        <w:t>V_I(e,r)=|B_I(e,r)|</w:t>
      </w:r>
    </w:p>
    <w:p w14:paraId="78327ECA">
      <w:pPr>
        <w:spacing w:before="0" w:after="120" w:line="283" w:lineRule="auto"/>
      </w:pPr>
      <w:r>
        <w:rPr>
          <w:rFonts w:ascii="Noto Serif CJK SC" w:hAnsi="Noto Serif CJK SC" w:eastAsia="Noto Serif CJK SC"/>
          <w:sz w:val="21"/>
        </w:rPr>
        <w:t>This volume is not a pre-given geometric volume. It is the number of events contained in a distance ball defined by the relational distance proxy d_I*.</w:t>
      </w:r>
    </w:p>
    <w:p w14:paraId="432E5EEF">
      <w:pPr>
        <w:spacing w:before="40" w:after="160"/>
        <w:jc w:val="center"/>
      </w:pPr>
      <w:r>
        <w:rPr>
          <w:rFonts w:ascii="Noto Serif CJK SC" w:hAnsi="Noto Serif CJK SC" w:eastAsia="Noto Serif CJK SC"/>
          <w:color w:val="143250"/>
          <w:sz w:val="21"/>
        </w:rPr>
        <w:t>If V_I(e,r) ~ r^{D_eff}, then an effective-dimensional proxy can be defined.</w:t>
      </w:r>
    </w:p>
    <w:p w14:paraId="4984E2DD">
      <w:pPr>
        <w:pStyle w:val="3"/>
        <w:spacing w:before="360" w:after="160"/>
      </w:pPr>
      <w:r>
        <w:rPr>
          <w:rFonts w:ascii="Noto Serif CJK SC" w:hAnsi="Noto Serif CJK SC" w:eastAsia="Noto Serif CJK SC"/>
          <w:b/>
          <w:color w:val="143250"/>
          <w:sz w:val="32"/>
        </w:rPr>
        <w:t>7. Effective Dimension Proxy D_eff</w:t>
      </w:r>
    </w:p>
    <w:p w14:paraId="66F8D9B7">
      <w:pPr>
        <w:spacing w:before="40" w:after="160"/>
        <w:jc w:val="center"/>
      </w:pPr>
      <w:r>
        <w:rPr>
          <w:rFonts w:ascii="Noto Serif CJK SC" w:hAnsi="Noto Serif CJK SC" w:eastAsia="Noto Serif CJK SC"/>
          <w:color w:val="143250"/>
          <w:sz w:val="21"/>
        </w:rPr>
        <w:t>D_eff(e,r)=d log V_I(e,r) / d log r</w:t>
      </w:r>
    </w:p>
    <w:p w14:paraId="5AB46A8C">
      <w:pPr>
        <w:spacing w:before="40" w:after="160"/>
        <w:jc w:val="center"/>
      </w:pPr>
      <w:r>
        <w:rPr>
          <w:rFonts w:ascii="Noto Serif CJK SC" w:hAnsi="Noto Serif CJK SC" w:eastAsia="Noto Serif CJK SC"/>
          <w:color w:val="143250"/>
          <w:sz w:val="21"/>
        </w:rPr>
        <w:t>D_eff(e,r;Δr)≈[log V_I(e,r+Δr)-log V_I(e,r)]/[log(r+Δr)-log r]</w:t>
      </w:r>
    </w:p>
    <w:p w14:paraId="41C95EA7">
      <w:pPr>
        <w:spacing w:before="0" w:after="120" w:line="283" w:lineRule="auto"/>
      </w:pPr>
      <w:r>
        <w:rPr>
          <w:rFonts w:ascii="Noto Serif CJK SC" w:hAnsi="Noto Serif CJK SC" w:eastAsia="Noto Serif CJK SC"/>
          <w:sz w:val="21"/>
        </w:rPr>
        <w:t>If there exists a scale window r∈[r₁,r₂] in which D_eff(e,r)≈D₀ and this value remains approximately stable across centers, slices, and reasonable parameter variations, the system may be said to display effective D₀-dimensional geometric behavior in that window.</w:t>
      </w:r>
    </w:p>
    <w:tbl>
      <w:tblPr>
        <w:tblStyle w:val="32"/>
        <w:tblW w:w="0" w:type="auto"/>
        <w:jc w:val="center"/>
        <w:tblLayout w:type="autofit"/>
        <w:tblCellMar>
          <w:top w:w="0" w:type="dxa"/>
          <w:left w:w="108" w:type="dxa"/>
          <w:bottom w:w="0" w:type="dxa"/>
          <w:right w:w="108" w:type="dxa"/>
        </w:tblCellMar>
      </w:tblPr>
      <w:tblGrid>
        <w:gridCol w:w="9576"/>
      </w:tblGrid>
      <w:tr w14:paraId="05FFD7C3">
        <w:tblPrEx>
          <w:tblCellMar>
            <w:top w:w="0" w:type="dxa"/>
            <w:left w:w="108" w:type="dxa"/>
            <w:bottom w:w="0" w:type="dxa"/>
            <w:right w:w="108" w:type="dxa"/>
          </w:tblCellMar>
        </w:tblPrEx>
        <w:trPr>
          <w:jc w:val="center"/>
        </w:trPr>
        <w:tc>
          <w:tcPr>
            <w:tcW w:w="9576" w:type="dxa"/>
            <w:shd w:val="clear" w:color="auto" w:fill="EAF3F8"/>
            <w:tcMar>
              <w:top w:w="180" w:type="dxa"/>
              <w:left w:w="220" w:type="dxa"/>
              <w:bottom w:w="180" w:type="dxa"/>
              <w:right w:w="220" w:type="dxa"/>
            </w:tcMar>
          </w:tcPr>
          <w:p w14:paraId="4A231751">
            <w:pPr>
              <w:spacing w:after="60"/>
            </w:pPr>
            <w:r>
              <w:rPr>
                <w:rFonts w:ascii="Noto Serif CJK SC" w:hAnsi="Noto Serif CJK SC" w:eastAsia="Noto Serif CJK SC"/>
                <w:b/>
                <w:color w:val="143250"/>
                <w:sz w:val="21"/>
              </w:rPr>
              <w:t>No overclaim</w:t>
            </w:r>
          </w:p>
          <w:p w14:paraId="7558E960">
            <w:pPr>
              <w:spacing w:after="0" w:line="269" w:lineRule="auto"/>
            </w:pPr>
            <w:r>
              <w:rPr>
                <w:rFonts w:ascii="Noto Serif CJK SC" w:hAnsi="Noto Serif CJK SC" w:eastAsia="Noto Serif CJK SC"/>
                <w:color w:val="282828"/>
                <w:sz w:val="20"/>
              </w:rPr>
              <w:t>If D_eff is stably close to 3 in a scale window, this indicates a three-dimensional spatial candidate behavior. It is not yet a strict derivation of three-dimensional space.</w:t>
            </w:r>
          </w:p>
        </w:tc>
      </w:tr>
    </w:tbl>
    <w:p w14:paraId="070BDEB7">
      <w:pPr>
        <w:spacing w:after="40"/>
      </w:pPr>
    </w:p>
    <w:p w14:paraId="7F56D5DC">
      <w:pPr>
        <w:pStyle w:val="3"/>
        <w:spacing w:before="360" w:after="160"/>
      </w:pPr>
      <w:r>
        <w:rPr>
          <w:rFonts w:ascii="Noto Serif CJK SC" w:hAnsi="Noto Serif CJK SC" w:eastAsia="Noto Serif CJK SC"/>
          <w:b/>
          <w:color w:val="143250"/>
          <w:sz w:val="32"/>
        </w:rPr>
        <w:t>8. Curvature Proxy Ric_I*</w:t>
      </w:r>
    </w:p>
    <w:p w14:paraId="43DA21C7">
      <w:pPr>
        <w:spacing w:before="0" w:after="120" w:line="283" w:lineRule="auto"/>
      </w:pPr>
      <w:r>
        <w:rPr>
          <w:rFonts w:ascii="Noto Serif CJK SC" w:hAnsi="Noto Serif CJK SC" w:eastAsia="Noto Serif CJK SC"/>
          <w:sz w:val="21"/>
        </w:rPr>
        <w:t>Classical curvature depends on smooth manifolds, connections, metrics, and differentiability. These are not inputs of Volume III. Hence Volume III defines only a curvature proxy.</w:t>
      </w:r>
    </w:p>
    <w:p w14:paraId="025FCB51">
      <w:pPr>
        <w:spacing w:before="40" w:after="160"/>
        <w:jc w:val="center"/>
      </w:pPr>
      <w:r>
        <w:rPr>
          <w:rFonts w:ascii="Noto Serif CJK SC" w:hAnsi="Noto Serif CJK SC" w:eastAsia="Noto Serif CJK SC"/>
          <w:color w:val="143250"/>
          <w:sz w:val="21"/>
        </w:rPr>
        <w:t>Ric_I*(e,r)=[V_ref(r)-V_I(e,r)]/[V_ref(r)+ε]</w:t>
      </w:r>
    </w:p>
    <w:p w14:paraId="292A970E">
      <w:pPr>
        <w:spacing w:before="0" w:after="120" w:line="283" w:lineRule="auto"/>
      </w:pPr>
      <w:r>
        <w:rPr>
          <w:rFonts w:ascii="Noto Serif CJK SC" w:hAnsi="Noto Serif CJK SC" w:eastAsia="Noto Serif CJK SC"/>
          <w:sz w:val="21"/>
        </w:rPr>
        <w:t>If V_I(e,r)&lt;V_ref(r), then Ric_I*(e,r)&gt;0, suggesting a positive-curvature tendency in the sense of volume-growth contraction. If V_I(e,r)&gt;V_ref(r), then Ric_I*(e,r)&lt;0, suggesting a negative-curvature tendency in the sense of volume-growth expansion.</w:t>
      </w:r>
    </w:p>
    <w:p w14:paraId="1E957FF1">
      <w:pPr>
        <w:pStyle w:val="4"/>
        <w:spacing w:before="240" w:after="120"/>
      </w:pPr>
      <w:r>
        <w:rPr>
          <w:rFonts w:ascii="Noto Serif CJK SC" w:hAnsi="Noto Serif CJK SC" w:eastAsia="Noto Serif CJK SC"/>
          <w:b/>
          <w:color w:val="1F4E79"/>
          <w:sz w:val="26"/>
        </w:rPr>
        <w:t>8.1 Limitations</w:t>
      </w:r>
    </w:p>
    <w:p w14:paraId="7D61DBBA">
      <w:pPr>
        <w:spacing w:before="0" w:after="60" w:line="283" w:lineRule="auto"/>
      </w:pPr>
      <w:r>
        <w:rPr>
          <w:rFonts w:ascii="Noto Serif CJK SC" w:hAnsi="Noto Serif CJK SC" w:eastAsia="Noto Serif CJK SC"/>
          <w:sz w:val="21"/>
        </w:rPr>
        <w:t>• Prove that d_I* has a stable coarse-grained limit.</w:t>
      </w:r>
    </w:p>
    <w:p w14:paraId="3CC85BB4">
      <w:pPr>
        <w:spacing w:before="0" w:after="60" w:line="283" w:lineRule="auto"/>
      </w:pPr>
      <w:r>
        <w:rPr>
          <w:rFonts w:ascii="Noto Serif CJK SC" w:hAnsi="Noto Serif CJK SC" w:eastAsia="Noto Serif CJK SC"/>
          <w:sz w:val="21"/>
        </w:rPr>
        <w:t>• Prove that V_I(e,r) has a stable volume-growth law in a scale window.</w:t>
      </w:r>
    </w:p>
    <w:p w14:paraId="5EB32085">
      <w:pPr>
        <w:spacing w:before="0" w:after="60" w:line="283" w:lineRule="auto"/>
      </w:pPr>
      <w:r>
        <w:rPr>
          <w:rFonts w:ascii="Noto Serif CJK SC" w:hAnsi="Noto Serif CJK SC" w:eastAsia="Noto Serif CJK SC"/>
          <w:sz w:val="21"/>
        </w:rPr>
        <w:t>• Prove that Ric_I* is robust under parameter perturbations.</w:t>
      </w:r>
    </w:p>
    <w:p w14:paraId="686FC1D4">
      <w:pPr>
        <w:spacing w:before="0" w:after="60" w:line="283" w:lineRule="auto"/>
      </w:pPr>
      <w:r>
        <w:rPr>
          <w:rFonts w:ascii="Noto Serif CJK SC" w:hAnsi="Noto Serif CJK SC" w:eastAsia="Noto Serif CJK SC"/>
          <w:sz w:val="21"/>
        </w:rPr>
        <w:t>• Build a mapping from the discrete curvature proxy to continuous curvature tensors.</w:t>
      </w:r>
    </w:p>
    <w:p w14:paraId="124B486A">
      <w:pPr>
        <w:spacing w:before="0" w:after="60" w:line="283" w:lineRule="auto"/>
      </w:pPr>
      <w:r>
        <w:rPr>
          <w:rFonts w:ascii="Noto Serif CJK SC" w:hAnsi="Noto Serif CJK SC" w:eastAsia="Noto Serif CJK SC"/>
          <w:sz w:val="21"/>
        </w:rPr>
        <w:t>• Prove that this mapping is valid in the low-energy or large-scale limit.</w:t>
      </w:r>
    </w:p>
    <w:p w14:paraId="60BEB492">
      <w:pPr>
        <w:pStyle w:val="3"/>
        <w:spacing w:before="360" w:after="160"/>
      </w:pPr>
      <w:r>
        <w:rPr>
          <w:rFonts w:ascii="Noto Serif CJK SC" w:hAnsi="Noto Serif CJK SC" w:eastAsia="Noto Serif CJK SC"/>
          <w:b/>
          <w:color w:val="143250"/>
          <w:sz w:val="32"/>
        </w:rPr>
        <w:t>9. Inter-Slice Stability and Slice Consistency</w:t>
      </w:r>
    </w:p>
    <w:p w14:paraId="7AA1C5CE">
      <w:pPr>
        <w:spacing w:before="0" w:after="120" w:line="283" w:lineRule="auto"/>
      </w:pPr>
      <w:r>
        <w:rPr>
          <w:rFonts w:ascii="Noto Serif CJK SC" w:hAnsi="Noto Serif CJK SC" w:eastAsia="Noto Serif CJK SC"/>
          <w:sz w:val="21"/>
        </w:rPr>
        <w:t>Volume III mainly constructs a geometric interface on a single slice Σ_l. However, if adjacency, dimensional, and curvature proxies are entirely unstable across slices, the interface cannot support later continuum reconstruction.</w:t>
      </w:r>
    </w:p>
    <w:p w14:paraId="55F2E892">
      <w:pPr>
        <w:spacing w:before="40" w:after="160"/>
        <w:jc w:val="center"/>
      </w:pPr>
      <w:r>
        <w:rPr>
          <w:rFonts w:ascii="Noto Serif CJK SC" w:hAnsi="Noto Serif CJK SC" w:eastAsia="Noto Serif CJK SC"/>
          <w:color w:val="143250"/>
          <w:sz w:val="21"/>
        </w:rPr>
        <w:t>k̄_l = (1/|Σ_l|) Σ_{e∈Σ_l} k(e)</w:t>
      </w:r>
    </w:p>
    <w:p w14:paraId="26B829D2">
      <w:pPr>
        <w:spacing w:before="40" w:after="160"/>
        <w:jc w:val="center"/>
      </w:pPr>
      <w:r>
        <w:rPr>
          <w:rFonts w:ascii="Noto Serif CJK SC" w:hAnsi="Noto Serif CJK SC" w:eastAsia="Noto Serif CJK SC"/>
          <w:color w:val="143250"/>
          <w:sz w:val="21"/>
        </w:rPr>
        <w:t>D̄_eff^(l)(r) = (1/|Σ_l|) Σ_{e∈Σ_l} D_eff^(l)(e,r)</w:t>
      </w:r>
    </w:p>
    <w:p w14:paraId="1E8822FE">
      <w:pPr>
        <w:spacing w:before="40" w:after="160"/>
        <w:jc w:val="center"/>
      </w:pPr>
      <w:r>
        <w:rPr>
          <w:rFonts w:ascii="Noto Serif CJK SC" w:hAnsi="Noto Serif CJK SC" w:eastAsia="Noto Serif CJK SC"/>
          <w:color w:val="143250"/>
          <w:sz w:val="21"/>
        </w:rPr>
        <w:t>Ric̄_I*^(l)(r) = (1/|Σ_l|) Σ_{e∈Σ_l} Ric_I*^(l)(e,r)</w:t>
      </w:r>
    </w:p>
    <w:p w14:paraId="6064172B">
      <w:pPr>
        <w:spacing w:before="0" w:after="120" w:line="283" w:lineRule="auto"/>
      </w:pPr>
      <w:r>
        <w:rPr>
          <w:rFonts w:ascii="Noto Serif CJK SC" w:hAnsi="Noto Serif CJK SC" w:eastAsia="Noto Serif CJK SC"/>
          <w:sz w:val="21"/>
        </w:rPr>
        <w:t>Inter-slice stability is not a prerequisite for defining the objects of Volume III. It is an audit criterion for the quality of the output. Only when multi-slice stability is observed can the construction proceed to the coarse-grained continuum analysis of Volume IV.</w:t>
      </w:r>
    </w:p>
    <w:p w14:paraId="125FA3AA">
      <w:pPr>
        <w:pStyle w:val="3"/>
        <w:spacing w:before="360" w:after="160"/>
      </w:pPr>
      <w:r>
        <w:rPr>
          <w:rFonts w:ascii="Noto Serif CJK SC" w:hAnsi="Noto Serif CJK SC" w:eastAsia="Noto Serif CJK SC"/>
          <w:b/>
          <w:color w:val="143250"/>
          <w:sz w:val="32"/>
        </w:rPr>
        <w:t>10. Background-Independence Audit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3288"/>
        <w:gridCol w:w="3515"/>
      </w:tblGrid>
      <w:tr w14:paraId="0809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AF7"/>
            <w:tcMar>
              <w:top w:w="120" w:type="dxa"/>
              <w:left w:w="120" w:type="dxa"/>
              <w:bottom w:w="120" w:type="dxa"/>
              <w:right w:w="120" w:type="dxa"/>
            </w:tcMar>
            <w:vAlign w:val="center"/>
          </w:tcPr>
          <w:p w14:paraId="68176C42">
            <w:pPr>
              <w:spacing w:after="0" w:line="240" w:lineRule="auto"/>
              <w:jc w:val="center"/>
            </w:pPr>
            <w:r>
              <w:rPr>
                <w:rFonts w:ascii="Noto Serif CJK SC" w:hAnsi="Noto Serif CJK SC" w:eastAsia="Noto Serif CJK SC"/>
                <w:b/>
                <w:color w:val="143250"/>
                <w:sz w:val="18"/>
              </w:rPr>
              <w:t>Audit item</w:t>
            </w:r>
          </w:p>
        </w:tc>
        <w:tc>
          <w:tcPr>
            <w:tcW w:w="3288" w:type="dxa"/>
            <w:shd w:val="clear" w:color="auto" w:fill="D9EAF7"/>
            <w:tcMar>
              <w:top w:w="120" w:type="dxa"/>
              <w:left w:w="120" w:type="dxa"/>
              <w:bottom w:w="120" w:type="dxa"/>
              <w:right w:w="120" w:type="dxa"/>
            </w:tcMar>
            <w:vAlign w:val="center"/>
          </w:tcPr>
          <w:p w14:paraId="7D1FE4B8">
            <w:pPr>
              <w:spacing w:after="0" w:line="240" w:lineRule="auto"/>
              <w:jc w:val="center"/>
            </w:pPr>
            <w:r>
              <w:rPr>
                <w:rFonts w:ascii="Noto Serif CJK SC" w:hAnsi="Noto Serif CJK SC" w:eastAsia="Noto Serif CJK SC"/>
                <w:b/>
                <w:color w:val="143250"/>
                <w:sz w:val="18"/>
              </w:rPr>
              <w:t>Invalid form</w:t>
            </w:r>
          </w:p>
        </w:tc>
        <w:tc>
          <w:tcPr>
            <w:tcW w:w="3515" w:type="dxa"/>
            <w:shd w:val="clear" w:color="auto" w:fill="D9EAF7"/>
            <w:tcMar>
              <w:top w:w="120" w:type="dxa"/>
              <w:left w:w="120" w:type="dxa"/>
              <w:bottom w:w="120" w:type="dxa"/>
              <w:right w:w="120" w:type="dxa"/>
            </w:tcMar>
            <w:vAlign w:val="center"/>
          </w:tcPr>
          <w:p w14:paraId="30750FFF">
            <w:pPr>
              <w:spacing w:after="0" w:line="240" w:lineRule="auto"/>
              <w:jc w:val="center"/>
            </w:pPr>
            <w:r>
              <w:rPr>
                <w:rFonts w:ascii="Noto Serif CJK SC" w:hAnsi="Noto Serif CJK SC" w:eastAsia="Noto Serif CJK SC"/>
                <w:b/>
                <w:color w:val="143250"/>
                <w:sz w:val="18"/>
              </w:rPr>
              <w:t>Valid form</w:t>
            </w:r>
          </w:p>
        </w:tc>
      </w:tr>
      <w:tr w14:paraId="75FE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120" w:type="dxa"/>
              <w:left w:w="120" w:type="dxa"/>
              <w:bottom w:w="120" w:type="dxa"/>
              <w:right w:w="120" w:type="dxa"/>
            </w:tcMar>
            <w:vAlign w:val="center"/>
          </w:tcPr>
          <w:p w14:paraId="25E0A848">
            <w:pPr>
              <w:spacing w:after="0" w:line="240" w:lineRule="auto"/>
              <w:jc w:val="left"/>
            </w:pPr>
            <w:r>
              <w:rPr>
                <w:rFonts w:ascii="Noto Serif CJK SC" w:hAnsi="Noto Serif CJK SC" w:eastAsia="Noto Serif CJK SC"/>
                <w:sz w:val="17"/>
              </w:rPr>
              <w:t>Coordinate leakage</w:t>
            </w:r>
          </w:p>
        </w:tc>
        <w:tc>
          <w:tcPr>
            <w:tcW w:w="3288" w:type="dxa"/>
            <w:tcMar>
              <w:top w:w="120" w:type="dxa"/>
              <w:left w:w="120" w:type="dxa"/>
              <w:bottom w:w="120" w:type="dxa"/>
              <w:right w:w="120" w:type="dxa"/>
            </w:tcMar>
            <w:vAlign w:val="center"/>
          </w:tcPr>
          <w:p w14:paraId="21C05FC2">
            <w:pPr>
              <w:spacing w:after="0" w:line="240" w:lineRule="auto"/>
              <w:jc w:val="left"/>
            </w:pPr>
            <w:r>
              <w:rPr>
                <w:rFonts w:ascii="Noto Serif CJK SC" w:hAnsi="Noto Serif CJK SC" w:eastAsia="Noto Serif CJK SC"/>
                <w:sz w:val="17"/>
              </w:rPr>
              <w:t>Define adjacency by |r_i-r_j|&lt;δ</w:t>
            </w:r>
          </w:p>
        </w:tc>
        <w:tc>
          <w:tcPr>
            <w:tcW w:w="3515" w:type="dxa"/>
            <w:tcMar>
              <w:top w:w="120" w:type="dxa"/>
              <w:left w:w="120" w:type="dxa"/>
              <w:bottom w:w="120" w:type="dxa"/>
              <w:right w:w="120" w:type="dxa"/>
            </w:tcMar>
            <w:vAlign w:val="center"/>
          </w:tcPr>
          <w:p w14:paraId="4C3C1B82">
            <w:pPr>
              <w:spacing w:after="0" w:line="240" w:lineRule="auto"/>
              <w:jc w:val="left"/>
            </w:pPr>
            <w:r>
              <w:rPr>
                <w:rFonts w:ascii="Noto Serif CJK SC" w:hAnsi="Noto Serif CJK SC" w:eastAsia="Noto Serif CJK SC"/>
                <w:sz w:val="17"/>
              </w:rPr>
              <w:t>Define adjacency by common past, common future, update traces, and interference</w:t>
            </w:r>
          </w:p>
        </w:tc>
      </w:tr>
      <w:tr w14:paraId="6917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120" w:type="dxa"/>
              <w:left w:w="120" w:type="dxa"/>
              <w:bottom w:w="120" w:type="dxa"/>
              <w:right w:w="120" w:type="dxa"/>
            </w:tcMar>
            <w:vAlign w:val="center"/>
          </w:tcPr>
          <w:p w14:paraId="7B45F0CA">
            <w:pPr>
              <w:spacing w:after="0" w:line="240" w:lineRule="auto"/>
              <w:jc w:val="left"/>
            </w:pPr>
            <w:r>
              <w:rPr>
                <w:rFonts w:ascii="Noto Serif CJK SC" w:hAnsi="Noto Serif CJK SC" w:eastAsia="Noto Serif CJK SC"/>
                <w:sz w:val="17"/>
              </w:rPr>
              <w:t>Euclidean distance leakage</w:t>
            </w:r>
          </w:p>
        </w:tc>
        <w:tc>
          <w:tcPr>
            <w:tcW w:w="3288" w:type="dxa"/>
            <w:tcMar>
              <w:top w:w="120" w:type="dxa"/>
              <w:left w:w="120" w:type="dxa"/>
              <w:bottom w:w="120" w:type="dxa"/>
              <w:right w:w="120" w:type="dxa"/>
            </w:tcMar>
            <w:vAlign w:val="center"/>
          </w:tcPr>
          <w:p w14:paraId="133E2A55">
            <w:pPr>
              <w:spacing w:after="0" w:line="240" w:lineRule="auto"/>
              <w:jc w:val="left"/>
            </w:pPr>
            <w:r>
              <w:rPr>
                <w:rFonts w:ascii="Noto Serif CJK SC" w:hAnsi="Noto Serif CJK SC" w:eastAsia="Noto Serif CJK SC"/>
                <w:sz w:val="17"/>
              </w:rPr>
              <w:t>Use coordinate-square distance</w:t>
            </w:r>
          </w:p>
        </w:tc>
        <w:tc>
          <w:tcPr>
            <w:tcW w:w="3515" w:type="dxa"/>
            <w:tcMar>
              <w:top w:w="120" w:type="dxa"/>
              <w:left w:w="120" w:type="dxa"/>
              <w:bottom w:w="120" w:type="dxa"/>
              <w:right w:w="120" w:type="dxa"/>
            </w:tcMar>
            <w:vAlign w:val="center"/>
          </w:tcPr>
          <w:p w14:paraId="1DFAC93A">
            <w:pPr>
              <w:spacing w:after="0" w:line="240" w:lineRule="auto"/>
              <w:jc w:val="left"/>
            </w:pPr>
            <w:r>
              <w:rPr>
                <w:rFonts w:ascii="Noto Serif CJK SC" w:hAnsi="Noto Serif CJK SC" w:eastAsia="Noto Serif CJK SC"/>
                <w:sz w:val="17"/>
              </w:rPr>
              <w:t>Use d_I*=min C_I(γ) as a distance proxy</w:t>
            </w:r>
          </w:p>
        </w:tc>
      </w:tr>
      <w:tr w14:paraId="1136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120" w:type="dxa"/>
              <w:left w:w="120" w:type="dxa"/>
              <w:bottom w:w="120" w:type="dxa"/>
              <w:right w:w="120" w:type="dxa"/>
            </w:tcMar>
            <w:vAlign w:val="center"/>
          </w:tcPr>
          <w:p w14:paraId="695F3E3C">
            <w:pPr>
              <w:spacing w:after="0" w:line="240" w:lineRule="auto"/>
              <w:jc w:val="left"/>
            </w:pPr>
            <w:r>
              <w:rPr>
                <w:rFonts w:ascii="Noto Serif CJK SC" w:hAnsi="Noto Serif CJK SC" w:eastAsia="Noto Serif CJK SC"/>
                <w:sz w:val="17"/>
              </w:rPr>
              <w:t>Manifold leakage</w:t>
            </w:r>
          </w:p>
        </w:tc>
        <w:tc>
          <w:tcPr>
            <w:tcW w:w="3288" w:type="dxa"/>
            <w:tcMar>
              <w:top w:w="120" w:type="dxa"/>
              <w:left w:w="120" w:type="dxa"/>
              <w:bottom w:w="120" w:type="dxa"/>
              <w:right w:w="120" w:type="dxa"/>
            </w:tcMar>
            <w:vAlign w:val="center"/>
          </w:tcPr>
          <w:p w14:paraId="5519FA49">
            <w:pPr>
              <w:spacing w:after="0" w:line="240" w:lineRule="auto"/>
              <w:jc w:val="left"/>
            </w:pPr>
            <w:r>
              <w:rPr>
                <w:rFonts w:ascii="Noto Serif CJK SC" w:hAnsi="Noto Serif CJK SC" w:eastAsia="Noto Serif CJK SC"/>
                <w:sz w:val="17"/>
              </w:rPr>
              <w:t>Use M, g_μν, ∇, R_μν as primitives</w:t>
            </w:r>
          </w:p>
        </w:tc>
        <w:tc>
          <w:tcPr>
            <w:tcW w:w="3515" w:type="dxa"/>
            <w:tcMar>
              <w:top w:w="120" w:type="dxa"/>
              <w:left w:w="120" w:type="dxa"/>
              <w:bottom w:w="120" w:type="dxa"/>
              <w:right w:w="120" w:type="dxa"/>
            </w:tcMar>
            <w:vAlign w:val="center"/>
          </w:tcPr>
          <w:p w14:paraId="59CB7BAF">
            <w:pPr>
              <w:spacing w:after="0" w:line="240" w:lineRule="auto"/>
              <w:jc w:val="left"/>
            </w:pPr>
            <w:r>
              <w:rPr>
                <w:rFonts w:ascii="Noto Serif CJK SC" w:hAnsi="Noto Serif CJK SC" w:eastAsia="Noto Serif CJK SC"/>
                <w:sz w:val="17"/>
              </w:rPr>
              <w:t>Treat them only as later coarse-graining targets</w:t>
            </w:r>
          </w:p>
        </w:tc>
      </w:tr>
      <w:tr w14:paraId="1C5A7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120" w:type="dxa"/>
              <w:left w:w="120" w:type="dxa"/>
              <w:bottom w:w="120" w:type="dxa"/>
              <w:right w:w="120" w:type="dxa"/>
            </w:tcMar>
            <w:vAlign w:val="center"/>
          </w:tcPr>
          <w:p w14:paraId="50DB5BAF">
            <w:pPr>
              <w:spacing w:after="0" w:line="240" w:lineRule="auto"/>
              <w:jc w:val="left"/>
            </w:pPr>
            <w:r>
              <w:rPr>
                <w:rFonts w:ascii="Noto Serif CJK SC" w:hAnsi="Noto Serif CJK SC" w:eastAsia="Noto Serif CJK SC"/>
                <w:sz w:val="17"/>
              </w:rPr>
              <w:t>External time leakage</w:t>
            </w:r>
          </w:p>
        </w:tc>
        <w:tc>
          <w:tcPr>
            <w:tcW w:w="3288" w:type="dxa"/>
            <w:tcMar>
              <w:top w:w="120" w:type="dxa"/>
              <w:left w:w="120" w:type="dxa"/>
              <w:bottom w:w="120" w:type="dxa"/>
              <w:right w:w="120" w:type="dxa"/>
            </w:tcMar>
            <w:vAlign w:val="center"/>
          </w:tcPr>
          <w:p w14:paraId="63E5712F">
            <w:pPr>
              <w:spacing w:after="0" w:line="240" w:lineRule="auto"/>
              <w:jc w:val="left"/>
            </w:pPr>
            <w:r>
              <w:rPr>
                <w:rFonts w:ascii="Noto Serif CJK SC" w:hAnsi="Noto Serif CJK SC" w:eastAsia="Noto Serif CJK SC"/>
                <w:sz w:val="17"/>
              </w:rPr>
              <w:t>Introduce an external t</w:t>
            </w:r>
          </w:p>
        </w:tc>
        <w:tc>
          <w:tcPr>
            <w:tcW w:w="3515" w:type="dxa"/>
            <w:tcMar>
              <w:top w:w="120" w:type="dxa"/>
              <w:left w:w="120" w:type="dxa"/>
              <w:bottom w:w="120" w:type="dxa"/>
              <w:right w:w="120" w:type="dxa"/>
            </w:tcMar>
            <w:vAlign w:val="center"/>
          </w:tcPr>
          <w:p w14:paraId="358B0D15">
            <w:pPr>
              <w:spacing w:after="0" w:line="240" w:lineRule="auto"/>
              <w:jc w:val="left"/>
            </w:pPr>
            <w:r>
              <w:rPr>
                <w:rFonts w:ascii="Noto Serif CJK SC" w:hAnsi="Noto Serif CJK SC" w:eastAsia="Noto Serif CJK SC"/>
                <w:sz w:val="17"/>
              </w:rPr>
              <w:t>Use only layer order l, internal clock variables, or causal order</w:t>
            </w:r>
          </w:p>
        </w:tc>
      </w:tr>
      <w:tr w14:paraId="7D7B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120" w:type="dxa"/>
              <w:left w:w="120" w:type="dxa"/>
              <w:bottom w:w="120" w:type="dxa"/>
              <w:right w:w="120" w:type="dxa"/>
            </w:tcMar>
            <w:vAlign w:val="center"/>
          </w:tcPr>
          <w:p w14:paraId="1B5F292F">
            <w:pPr>
              <w:spacing w:after="0" w:line="240" w:lineRule="auto"/>
              <w:jc w:val="left"/>
            </w:pPr>
            <w:r>
              <w:rPr>
                <w:rFonts w:ascii="Noto Serif CJK SC" w:hAnsi="Noto Serif CJK SC" w:eastAsia="Noto Serif CJK SC"/>
                <w:sz w:val="17"/>
              </w:rPr>
              <w:t>Field-equation leakage</w:t>
            </w:r>
          </w:p>
        </w:tc>
        <w:tc>
          <w:tcPr>
            <w:tcW w:w="3288" w:type="dxa"/>
            <w:tcMar>
              <w:top w:w="120" w:type="dxa"/>
              <w:left w:w="120" w:type="dxa"/>
              <w:bottom w:w="120" w:type="dxa"/>
              <w:right w:w="120" w:type="dxa"/>
            </w:tcMar>
            <w:vAlign w:val="center"/>
          </w:tcPr>
          <w:p w14:paraId="7D017F18">
            <w:pPr>
              <w:spacing w:after="0" w:line="240" w:lineRule="auto"/>
              <w:jc w:val="left"/>
            </w:pPr>
            <w:r>
              <w:rPr>
                <w:rFonts w:ascii="Noto Serif CJK SC" w:hAnsi="Noto Serif CJK SC" w:eastAsia="Noto Serif CJK SC"/>
                <w:sz w:val="17"/>
              </w:rPr>
              <w:t>Use G_μν=8πT_μν directly</w:t>
            </w:r>
          </w:p>
        </w:tc>
        <w:tc>
          <w:tcPr>
            <w:tcW w:w="3515" w:type="dxa"/>
            <w:tcMar>
              <w:top w:w="120" w:type="dxa"/>
              <w:left w:w="120" w:type="dxa"/>
              <w:bottom w:w="120" w:type="dxa"/>
              <w:right w:w="120" w:type="dxa"/>
            </w:tcMar>
            <w:vAlign w:val="center"/>
          </w:tcPr>
          <w:p w14:paraId="0C566321">
            <w:pPr>
              <w:spacing w:after="0" w:line="240" w:lineRule="auto"/>
              <w:jc w:val="left"/>
            </w:pPr>
            <w:r>
              <w:rPr>
                <w:rFonts w:ascii="Noto Serif CJK SC" w:hAnsi="Noto Serif CJK SC" w:eastAsia="Noto Serif CJK SC"/>
                <w:sz w:val="17"/>
              </w:rPr>
              <w:t>Prepare geometric proxies for later interfaces</w:t>
            </w:r>
          </w:p>
        </w:tc>
      </w:tr>
      <w:tr w14:paraId="5FFA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120" w:type="dxa"/>
              <w:left w:w="120" w:type="dxa"/>
              <w:bottom w:w="120" w:type="dxa"/>
              <w:right w:w="120" w:type="dxa"/>
            </w:tcMar>
            <w:vAlign w:val="center"/>
          </w:tcPr>
          <w:p w14:paraId="5BB5DFF2">
            <w:pPr>
              <w:spacing w:after="0" w:line="240" w:lineRule="auto"/>
              <w:jc w:val="left"/>
            </w:pPr>
            <w:r>
              <w:rPr>
                <w:rFonts w:ascii="Noto Serif CJK SC" w:hAnsi="Noto Serif CJK SC" w:eastAsia="Noto Serif CJK SC"/>
                <w:sz w:val="17"/>
              </w:rPr>
              <w:t>Dimension overclaim</w:t>
            </w:r>
          </w:p>
        </w:tc>
        <w:tc>
          <w:tcPr>
            <w:tcW w:w="3288" w:type="dxa"/>
            <w:tcMar>
              <w:top w:w="120" w:type="dxa"/>
              <w:left w:w="120" w:type="dxa"/>
              <w:bottom w:w="120" w:type="dxa"/>
              <w:right w:w="120" w:type="dxa"/>
            </w:tcMar>
            <w:vAlign w:val="center"/>
          </w:tcPr>
          <w:p w14:paraId="4E34AF6B">
            <w:pPr>
              <w:spacing w:after="0" w:line="240" w:lineRule="auto"/>
              <w:jc w:val="left"/>
            </w:pPr>
            <w:r>
              <w:rPr>
                <w:rFonts w:ascii="Noto Serif CJK SC" w:hAnsi="Noto Serif CJK SC" w:eastAsia="Noto Serif CJK SC"/>
                <w:sz w:val="17"/>
              </w:rPr>
              <w:t>Claim strict derivation of 3D space</w:t>
            </w:r>
          </w:p>
        </w:tc>
        <w:tc>
          <w:tcPr>
            <w:tcW w:w="3515" w:type="dxa"/>
            <w:tcMar>
              <w:top w:w="120" w:type="dxa"/>
              <w:left w:w="120" w:type="dxa"/>
              <w:bottom w:w="120" w:type="dxa"/>
              <w:right w:w="120" w:type="dxa"/>
            </w:tcMar>
            <w:vAlign w:val="center"/>
          </w:tcPr>
          <w:p w14:paraId="1F38B1E3">
            <w:pPr>
              <w:spacing w:after="0" w:line="240" w:lineRule="auto"/>
              <w:jc w:val="left"/>
            </w:pPr>
            <w:r>
              <w:rPr>
                <w:rFonts w:ascii="Noto Serif CJK SC" w:hAnsi="Noto Serif CJK SC" w:eastAsia="Noto Serif CJK SC"/>
                <w:sz w:val="17"/>
              </w:rPr>
              <w:t>Call it three-dimensional candidate behavior</w:t>
            </w:r>
          </w:p>
        </w:tc>
      </w:tr>
      <w:tr w14:paraId="1067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120" w:type="dxa"/>
              <w:left w:w="120" w:type="dxa"/>
              <w:bottom w:w="120" w:type="dxa"/>
              <w:right w:w="120" w:type="dxa"/>
            </w:tcMar>
            <w:vAlign w:val="center"/>
          </w:tcPr>
          <w:p w14:paraId="00CFE836">
            <w:pPr>
              <w:spacing w:after="0" w:line="240" w:lineRule="auto"/>
              <w:jc w:val="left"/>
            </w:pPr>
            <w:r>
              <w:rPr>
                <w:rFonts w:ascii="Noto Serif CJK SC" w:hAnsi="Noto Serif CJK SC" w:eastAsia="Noto Serif CJK SC"/>
                <w:sz w:val="17"/>
              </w:rPr>
              <w:t>Curvature overclaim</w:t>
            </w:r>
          </w:p>
        </w:tc>
        <w:tc>
          <w:tcPr>
            <w:tcW w:w="3288" w:type="dxa"/>
            <w:tcMar>
              <w:top w:w="120" w:type="dxa"/>
              <w:left w:w="120" w:type="dxa"/>
              <w:bottom w:w="120" w:type="dxa"/>
              <w:right w:w="120" w:type="dxa"/>
            </w:tcMar>
            <w:vAlign w:val="center"/>
          </w:tcPr>
          <w:p w14:paraId="26312A1C">
            <w:pPr>
              <w:spacing w:after="0" w:line="240" w:lineRule="auto"/>
              <w:jc w:val="left"/>
            </w:pPr>
            <w:r>
              <w:rPr>
                <w:rFonts w:ascii="Noto Serif CJK SC" w:hAnsi="Noto Serif CJK SC" w:eastAsia="Noto Serif CJK SC"/>
                <w:sz w:val="17"/>
              </w:rPr>
              <w:t>Identify Ric_I* with Ricci curvature</w:t>
            </w:r>
          </w:p>
        </w:tc>
        <w:tc>
          <w:tcPr>
            <w:tcW w:w="3515" w:type="dxa"/>
            <w:tcMar>
              <w:top w:w="120" w:type="dxa"/>
              <w:left w:w="120" w:type="dxa"/>
              <w:bottom w:w="120" w:type="dxa"/>
              <w:right w:w="120" w:type="dxa"/>
            </w:tcMar>
            <w:vAlign w:val="center"/>
          </w:tcPr>
          <w:p w14:paraId="797EF166">
            <w:pPr>
              <w:spacing w:after="0" w:line="240" w:lineRule="auto"/>
              <w:jc w:val="left"/>
            </w:pPr>
            <w:r>
              <w:rPr>
                <w:rFonts w:ascii="Noto Serif CJK SC" w:hAnsi="Noto Serif CJK SC" w:eastAsia="Noto Serif CJK SC"/>
                <w:sz w:val="17"/>
              </w:rPr>
              <w:t>Call it a volume-growth curvature proxy</w:t>
            </w:r>
          </w:p>
        </w:tc>
      </w:tr>
    </w:tbl>
    <w:p w14:paraId="5C9F5784">
      <w:pPr>
        <w:spacing w:after="120"/>
      </w:pPr>
    </w:p>
    <w:p w14:paraId="75CD6707">
      <w:pPr>
        <w:pStyle w:val="3"/>
        <w:spacing w:before="360" w:after="160"/>
      </w:pPr>
      <w:r>
        <w:rPr>
          <w:rFonts w:ascii="Noto Serif CJK SC" w:hAnsi="Noto Serif CJK SC" w:eastAsia="Noto Serif CJK SC"/>
          <w:b/>
          <w:color w:val="143250"/>
          <w:sz w:val="32"/>
        </w:rPr>
        <w:t>11. Computational Implementation</w:t>
      </w:r>
    </w:p>
    <w:p w14:paraId="703CA0DC">
      <w:pPr>
        <w:spacing w:before="0" w:after="120" w:line="283" w:lineRule="auto"/>
      </w:pPr>
      <w:r>
        <w:rPr>
          <w:rFonts w:ascii="Noto Serif CJK SC" w:hAnsi="Noto Serif CJK SC" w:eastAsia="Noto Serif CJK SC"/>
          <w:sz w:val="21"/>
        </w:rPr>
        <w:t>The implementation requires an event list, a causal-edge list, slice assignments, local update traces, and interference or conflict scores. The procedure is:</w:t>
      </w:r>
    </w:p>
    <w:p w14:paraId="62B8254D">
      <w:pPr>
        <w:spacing w:before="0" w:after="60" w:line="283" w:lineRule="auto"/>
      </w:pPr>
      <w:r>
        <w:rPr>
          <w:rFonts w:ascii="Noto Serif CJK SC" w:hAnsi="Noto Serif CJK SC" w:eastAsia="Noto Serif CJK SC"/>
          <w:sz w:val="21"/>
        </w:rPr>
        <w:t>1. Compute r-step Past and Future sets for each slice.</w:t>
      </w:r>
    </w:p>
    <w:p w14:paraId="51FA0A4F">
      <w:pPr>
        <w:spacing w:before="0" w:after="60" w:line="283" w:lineRule="auto"/>
      </w:pPr>
      <w:r>
        <w:rPr>
          <w:rFonts w:ascii="Noto Serif CJK SC" w:hAnsi="Noto Serif CJK SC" w:eastAsia="Noto Serif CJK SC"/>
          <w:sz w:val="21"/>
        </w:rPr>
        <w:t>2. Compute S_pre, S_post, S_upd, and S_int.</w:t>
      </w:r>
    </w:p>
    <w:p w14:paraId="202C5BAE">
      <w:pPr>
        <w:spacing w:before="0" w:after="60" w:line="283" w:lineRule="auto"/>
      </w:pPr>
      <w:r>
        <w:rPr>
          <w:rFonts w:ascii="Noto Serif CJK SC" w:hAnsi="Noto Serif CJK SC" w:eastAsia="Noto Serif CJK SC"/>
          <w:sz w:val="21"/>
        </w:rPr>
        <w:t>3. Combine them into S_Σ and obtain A_Σ.</w:t>
      </w:r>
    </w:p>
    <w:p w14:paraId="42434FFF">
      <w:pPr>
        <w:spacing w:before="0" w:after="60" w:line="283" w:lineRule="auto"/>
      </w:pPr>
      <w:r>
        <w:rPr>
          <w:rFonts w:ascii="Noto Serif CJK SC" w:hAnsi="Noto Serif CJK SC" w:eastAsia="Noto Serif CJK SC"/>
          <w:sz w:val="21"/>
        </w:rPr>
        <w:t>4. Build G_{Σ_l}.</w:t>
      </w:r>
    </w:p>
    <w:p w14:paraId="7CC13056">
      <w:pPr>
        <w:spacing w:before="0" w:after="60" w:line="283" w:lineRule="auto"/>
      </w:pPr>
      <w:r>
        <w:rPr>
          <w:rFonts w:ascii="Noto Serif CJK SC" w:hAnsi="Noto Serif CJK SC" w:eastAsia="Noto Serif CJK SC"/>
          <w:sz w:val="21"/>
        </w:rPr>
        <w:t>5. Compute edge costs c_I from S_Σ.</w:t>
      </w:r>
    </w:p>
    <w:p w14:paraId="219EBA99">
      <w:pPr>
        <w:spacing w:before="0" w:after="60" w:line="283" w:lineRule="auto"/>
      </w:pPr>
      <w:r>
        <w:rPr>
          <w:rFonts w:ascii="Noto Serif CJK SC" w:hAnsi="Noto Serif CJK SC" w:eastAsia="Noto Serif CJK SC"/>
          <w:sz w:val="21"/>
        </w:rPr>
        <w:t>6. Use shortest-path algorithms to obtain d_I*.</w:t>
      </w:r>
    </w:p>
    <w:p w14:paraId="1EB421B1">
      <w:pPr>
        <w:spacing w:before="0" w:after="60" w:line="283" w:lineRule="auto"/>
      </w:pPr>
      <w:r>
        <w:rPr>
          <w:rFonts w:ascii="Noto Serif CJK SC" w:hAnsi="Noto Serif CJK SC" w:eastAsia="Noto Serif CJK SC"/>
          <w:sz w:val="21"/>
        </w:rPr>
        <w:t>7. For each center event, compute B_I(e,r) and V_I(e,r).</w:t>
      </w:r>
    </w:p>
    <w:p w14:paraId="6F1D1C27">
      <w:pPr>
        <w:spacing w:before="0" w:after="60" w:line="283" w:lineRule="auto"/>
      </w:pPr>
      <w:r>
        <w:rPr>
          <w:rFonts w:ascii="Noto Serif CJK SC" w:hAnsi="Noto Serif CJK SC" w:eastAsia="Noto Serif CJK SC"/>
          <w:sz w:val="21"/>
        </w:rPr>
        <w:t>8. Compute D_eff(e,r).</w:t>
      </w:r>
    </w:p>
    <w:p w14:paraId="74717E99">
      <w:pPr>
        <w:spacing w:before="0" w:after="60" w:line="283" w:lineRule="auto"/>
      </w:pPr>
      <w:r>
        <w:rPr>
          <w:rFonts w:ascii="Noto Serif CJK SC" w:hAnsi="Noto Serif CJK SC" w:eastAsia="Noto Serif CJK SC"/>
          <w:sz w:val="21"/>
        </w:rPr>
        <w:t>9. Choose V_ref(r) and compute Ric_I*(e,r).</w:t>
      </w:r>
    </w:p>
    <w:p w14:paraId="620F949A">
      <w:pPr>
        <w:spacing w:before="0" w:after="60" w:line="283" w:lineRule="auto"/>
      </w:pPr>
      <w:r>
        <w:rPr>
          <w:rFonts w:ascii="Noto Serif CJK SC" w:hAnsi="Noto Serif CJK SC" w:eastAsia="Noto Serif CJK SC"/>
          <w:sz w:val="21"/>
        </w:rPr>
        <w:t>10. Run parameter perturbation, inter-slice stability, and connectivity checks.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7"/>
      </w:tblGrid>
      <w:tr w14:paraId="7BF9D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D9EAF7"/>
            <w:tcMar>
              <w:top w:w="120" w:type="dxa"/>
              <w:left w:w="120" w:type="dxa"/>
              <w:bottom w:w="120" w:type="dxa"/>
              <w:right w:w="120" w:type="dxa"/>
            </w:tcMar>
            <w:vAlign w:val="center"/>
          </w:tcPr>
          <w:p w14:paraId="54556EF5">
            <w:pPr>
              <w:spacing w:after="0" w:line="240" w:lineRule="auto"/>
              <w:jc w:val="center"/>
            </w:pPr>
            <w:r>
              <w:rPr>
                <w:rFonts w:ascii="Noto Serif CJK SC" w:hAnsi="Noto Serif CJK SC" w:eastAsia="Noto Serif CJK SC"/>
                <w:b/>
                <w:color w:val="143250"/>
                <w:sz w:val="18"/>
              </w:rPr>
              <w:t>Auditable output</w:t>
            </w:r>
          </w:p>
        </w:tc>
        <w:tc>
          <w:tcPr>
            <w:tcW w:w="6237" w:type="dxa"/>
            <w:shd w:val="clear" w:color="auto" w:fill="D9EAF7"/>
            <w:tcMar>
              <w:top w:w="120" w:type="dxa"/>
              <w:left w:w="120" w:type="dxa"/>
              <w:bottom w:w="120" w:type="dxa"/>
              <w:right w:w="120" w:type="dxa"/>
            </w:tcMar>
            <w:vAlign w:val="center"/>
          </w:tcPr>
          <w:p w14:paraId="1C57B1E9">
            <w:pPr>
              <w:spacing w:after="0" w:line="240" w:lineRule="auto"/>
              <w:jc w:val="center"/>
            </w:pPr>
            <w:r>
              <w:rPr>
                <w:rFonts w:ascii="Noto Serif CJK SC" w:hAnsi="Noto Serif CJK SC" w:eastAsia="Noto Serif CJK SC"/>
                <w:b/>
                <w:color w:val="143250"/>
                <w:sz w:val="18"/>
              </w:rPr>
              <w:t>Meaning</w:t>
            </w:r>
          </w:p>
        </w:tc>
      </w:tr>
      <w:tr w14:paraId="7D10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57EA76F9">
            <w:pPr>
              <w:spacing w:after="0" w:line="240" w:lineRule="auto"/>
              <w:jc w:val="center"/>
            </w:pPr>
            <w:r>
              <w:rPr>
                <w:rFonts w:ascii="Noto Serif CJK SC" w:hAnsi="Noto Serif CJK SC" w:eastAsia="Noto Serif CJK SC"/>
                <w:sz w:val="17"/>
              </w:rPr>
              <w:t>|Σ_l|</w:t>
            </w:r>
          </w:p>
        </w:tc>
        <w:tc>
          <w:tcPr>
            <w:tcW w:w="6237" w:type="dxa"/>
            <w:tcMar>
              <w:top w:w="120" w:type="dxa"/>
              <w:left w:w="120" w:type="dxa"/>
              <w:bottom w:w="120" w:type="dxa"/>
              <w:right w:w="120" w:type="dxa"/>
            </w:tcMar>
            <w:vAlign w:val="center"/>
          </w:tcPr>
          <w:p w14:paraId="3393BC62">
            <w:pPr>
              <w:spacing w:after="0" w:line="240" w:lineRule="auto"/>
              <w:jc w:val="center"/>
            </w:pPr>
            <w:r>
              <w:rPr>
                <w:rFonts w:ascii="Noto Serif CJK SC" w:hAnsi="Noto Serif CJK SC" w:eastAsia="Noto Serif CJK SC"/>
                <w:sz w:val="17"/>
              </w:rPr>
              <w:t>Slice size</w:t>
            </w:r>
          </w:p>
        </w:tc>
      </w:tr>
      <w:tr w14:paraId="4D43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2B63FEB8">
            <w:pPr>
              <w:spacing w:after="0" w:line="240" w:lineRule="auto"/>
              <w:jc w:val="center"/>
            </w:pPr>
            <w:r>
              <w:rPr>
                <w:rFonts w:ascii="Noto Serif CJK SC" w:hAnsi="Noto Serif CJK SC" w:eastAsia="Noto Serif CJK SC"/>
                <w:sz w:val="17"/>
              </w:rPr>
              <w:t>|E_l|</w:t>
            </w:r>
          </w:p>
        </w:tc>
        <w:tc>
          <w:tcPr>
            <w:tcW w:w="6237" w:type="dxa"/>
            <w:tcMar>
              <w:top w:w="120" w:type="dxa"/>
              <w:left w:w="120" w:type="dxa"/>
              <w:bottom w:w="120" w:type="dxa"/>
              <w:right w:w="120" w:type="dxa"/>
            </w:tcMar>
            <w:vAlign w:val="center"/>
          </w:tcPr>
          <w:p w14:paraId="443DA188">
            <w:pPr>
              <w:spacing w:after="0" w:line="240" w:lineRule="auto"/>
              <w:jc w:val="left"/>
            </w:pPr>
            <w:r>
              <w:rPr>
                <w:rFonts w:ascii="Noto Serif CJK SC" w:hAnsi="Noto Serif CJK SC" w:eastAsia="Noto Serif CJK SC"/>
                <w:sz w:val="17"/>
              </w:rPr>
              <w:t>Number of adjacency edges</w:t>
            </w:r>
          </w:p>
        </w:tc>
      </w:tr>
      <w:tr w14:paraId="0171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0596FC03">
            <w:pPr>
              <w:spacing w:after="0" w:line="240" w:lineRule="auto"/>
              <w:jc w:val="center"/>
            </w:pPr>
            <w:r>
              <w:rPr>
                <w:rFonts w:ascii="Noto Serif CJK SC" w:hAnsi="Noto Serif CJK SC" w:eastAsia="Noto Serif CJK SC"/>
                <w:sz w:val="17"/>
              </w:rPr>
              <w:t>k̄_l</w:t>
            </w:r>
          </w:p>
        </w:tc>
        <w:tc>
          <w:tcPr>
            <w:tcW w:w="6237" w:type="dxa"/>
            <w:tcMar>
              <w:top w:w="120" w:type="dxa"/>
              <w:left w:w="120" w:type="dxa"/>
              <w:bottom w:w="120" w:type="dxa"/>
              <w:right w:w="120" w:type="dxa"/>
            </w:tcMar>
            <w:vAlign w:val="center"/>
          </w:tcPr>
          <w:p w14:paraId="485DBF12">
            <w:pPr>
              <w:spacing w:after="0" w:line="240" w:lineRule="auto"/>
              <w:jc w:val="left"/>
            </w:pPr>
            <w:r>
              <w:rPr>
                <w:rFonts w:ascii="Noto Serif CJK SC" w:hAnsi="Noto Serif CJK SC" w:eastAsia="Noto Serif CJK SC"/>
                <w:sz w:val="17"/>
              </w:rPr>
              <w:t>Average degree</w:t>
            </w:r>
          </w:p>
        </w:tc>
      </w:tr>
      <w:tr w14:paraId="682E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68DE755C">
            <w:pPr>
              <w:spacing w:after="0" w:line="240" w:lineRule="auto"/>
              <w:jc w:val="left"/>
            </w:pPr>
            <w:r>
              <w:rPr>
                <w:rFonts w:ascii="Noto Serif CJK SC" w:hAnsi="Noto Serif CJK SC" w:eastAsia="Noto Serif CJK SC"/>
                <w:sz w:val="17"/>
              </w:rPr>
              <w:t>Number of components</w:t>
            </w:r>
          </w:p>
        </w:tc>
        <w:tc>
          <w:tcPr>
            <w:tcW w:w="6237" w:type="dxa"/>
            <w:tcMar>
              <w:top w:w="120" w:type="dxa"/>
              <w:left w:w="120" w:type="dxa"/>
              <w:bottom w:w="120" w:type="dxa"/>
              <w:right w:w="120" w:type="dxa"/>
            </w:tcMar>
            <w:vAlign w:val="center"/>
          </w:tcPr>
          <w:p w14:paraId="144B4212">
            <w:pPr>
              <w:spacing w:after="0" w:line="240" w:lineRule="auto"/>
              <w:jc w:val="left"/>
            </w:pPr>
            <w:r>
              <w:rPr>
                <w:rFonts w:ascii="Noto Serif CJK SC" w:hAnsi="Noto Serif CJK SC" w:eastAsia="Noto Serif CJK SC"/>
                <w:sz w:val="17"/>
              </w:rPr>
              <w:t>Whether the slice is fragmented</w:t>
            </w:r>
          </w:p>
        </w:tc>
      </w:tr>
      <w:tr w14:paraId="1C88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7A0476BD">
            <w:pPr>
              <w:spacing w:after="0" w:line="240" w:lineRule="auto"/>
              <w:jc w:val="left"/>
            </w:pPr>
            <w:r>
              <w:rPr>
                <w:rFonts w:ascii="Noto Serif CJK SC" w:hAnsi="Noto Serif CJK SC" w:eastAsia="Noto Serif CJK SC"/>
                <w:sz w:val="17"/>
              </w:rPr>
              <w:t>Largest-component ratio</w:t>
            </w:r>
          </w:p>
        </w:tc>
        <w:tc>
          <w:tcPr>
            <w:tcW w:w="6237" w:type="dxa"/>
            <w:tcMar>
              <w:top w:w="120" w:type="dxa"/>
              <w:left w:w="120" w:type="dxa"/>
              <w:bottom w:w="120" w:type="dxa"/>
              <w:right w:w="120" w:type="dxa"/>
            </w:tcMar>
            <w:vAlign w:val="center"/>
          </w:tcPr>
          <w:p w14:paraId="06299F1C">
            <w:pPr>
              <w:spacing w:after="0" w:line="240" w:lineRule="auto"/>
              <w:jc w:val="left"/>
            </w:pPr>
            <w:r>
              <w:rPr>
                <w:rFonts w:ascii="Noto Serif CJK SC" w:hAnsi="Noto Serif CJK SC" w:eastAsia="Noto Serif CJK SC"/>
                <w:sz w:val="17"/>
              </w:rPr>
              <w:t>Whether a main geometric body exists</w:t>
            </w:r>
          </w:p>
        </w:tc>
      </w:tr>
      <w:tr w14:paraId="6738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071350CA">
            <w:pPr>
              <w:spacing w:after="0" w:line="240" w:lineRule="auto"/>
              <w:jc w:val="left"/>
            </w:pPr>
            <w:r>
              <w:rPr>
                <w:rFonts w:ascii="Noto Serif CJK SC" w:hAnsi="Noto Serif CJK SC" w:eastAsia="Noto Serif CJK SC"/>
                <w:sz w:val="17"/>
              </w:rPr>
              <w:t>Finite-distance ratio</w:t>
            </w:r>
          </w:p>
        </w:tc>
        <w:tc>
          <w:tcPr>
            <w:tcW w:w="6237" w:type="dxa"/>
            <w:tcMar>
              <w:top w:w="120" w:type="dxa"/>
              <w:left w:w="120" w:type="dxa"/>
              <w:bottom w:w="120" w:type="dxa"/>
              <w:right w:w="120" w:type="dxa"/>
            </w:tcMar>
            <w:vAlign w:val="center"/>
          </w:tcPr>
          <w:p w14:paraId="3D180B2B">
            <w:pPr>
              <w:spacing w:after="0" w:line="240" w:lineRule="auto"/>
              <w:jc w:val="left"/>
            </w:pPr>
            <w:r>
              <w:rPr>
                <w:rFonts w:ascii="Noto Serif CJK SC" w:hAnsi="Noto Serif CJK SC" w:eastAsia="Noto Serif CJK SC"/>
                <w:sz w:val="17"/>
              </w:rPr>
              <w:t>Coverage of d_I*</w:t>
            </w:r>
          </w:p>
        </w:tc>
      </w:tr>
      <w:tr w14:paraId="1D385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7B752683">
            <w:pPr>
              <w:spacing w:after="0" w:line="240" w:lineRule="auto"/>
              <w:jc w:val="left"/>
            </w:pPr>
            <w:r>
              <w:rPr>
                <w:rFonts w:ascii="Noto Serif CJK SC" w:hAnsi="Noto Serif CJK SC" w:eastAsia="Noto Serif CJK SC"/>
                <w:sz w:val="17"/>
              </w:rPr>
              <w:t>Mean/variance of V_I</w:t>
            </w:r>
          </w:p>
        </w:tc>
        <w:tc>
          <w:tcPr>
            <w:tcW w:w="6237" w:type="dxa"/>
            <w:tcMar>
              <w:top w:w="120" w:type="dxa"/>
              <w:left w:w="120" w:type="dxa"/>
              <w:bottom w:w="120" w:type="dxa"/>
              <w:right w:w="120" w:type="dxa"/>
            </w:tcMar>
            <w:vAlign w:val="center"/>
          </w:tcPr>
          <w:p w14:paraId="69954193">
            <w:pPr>
              <w:spacing w:after="0" w:line="240" w:lineRule="auto"/>
              <w:jc w:val="left"/>
            </w:pPr>
            <w:r>
              <w:rPr>
                <w:rFonts w:ascii="Noto Serif CJK SC" w:hAnsi="Noto Serif CJK SC" w:eastAsia="Noto Serif CJK SC"/>
                <w:sz w:val="17"/>
              </w:rPr>
              <w:t>Stability of volume growth</w:t>
            </w:r>
          </w:p>
        </w:tc>
      </w:tr>
      <w:tr w14:paraId="1329F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17262340">
            <w:pPr>
              <w:spacing w:after="0" w:line="240" w:lineRule="auto"/>
              <w:jc w:val="left"/>
            </w:pPr>
            <w:r>
              <w:rPr>
                <w:rFonts w:ascii="Noto Serif CJK SC" w:hAnsi="Noto Serif CJK SC" w:eastAsia="Noto Serif CJK SC"/>
                <w:sz w:val="17"/>
              </w:rPr>
              <w:t>Mean/variance of D_eff</w:t>
            </w:r>
          </w:p>
        </w:tc>
        <w:tc>
          <w:tcPr>
            <w:tcW w:w="6237" w:type="dxa"/>
            <w:tcMar>
              <w:top w:w="120" w:type="dxa"/>
              <w:left w:w="120" w:type="dxa"/>
              <w:bottom w:w="120" w:type="dxa"/>
              <w:right w:w="120" w:type="dxa"/>
            </w:tcMar>
            <w:vAlign w:val="center"/>
          </w:tcPr>
          <w:p w14:paraId="0D197891">
            <w:pPr>
              <w:spacing w:after="0" w:line="240" w:lineRule="auto"/>
              <w:jc w:val="left"/>
            </w:pPr>
            <w:r>
              <w:rPr>
                <w:rFonts w:ascii="Noto Serif CJK SC" w:hAnsi="Noto Serif CJK SC" w:eastAsia="Noto Serif CJK SC"/>
                <w:sz w:val="17"/>
              </w:rPr>
              <w:t>Stability of effective dimension</w:t>
            </w:r>
          </w:p>
        </w:tc>
      </w:tr>
      <w:tr w14:paraId="228D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09D28665">
            <w:pPr>
              <w:spacing w:after="0" w:line="240" w:lineRule="auto"/>
              <w:jc w:val="left"/>
            </w:pPr>
            <w:r>
              <w:rPr>
                <w:rFonts w:ascii="Noto Serif CJK SC" w:hAnsi="Noto Serif CJK SC" w:eastAsia="Noto Serif CJK SC"/>
                <w:sz w:val="17"/>
              </w:rPr>
              <w:t>Mean/variance of Ric_I*</w:t>
            </w:r>
          </w:p>
        </w:tc>
        <w:tc>
          <w:tcPr>
            <w:tcW w:w="6237" w:type="dxa"/>
            <w:tcMar>
              <w:top w:w="120" w:type="dxa"/>
              <w:left w:w="120" w:type="dxa"/>
              <w:bottom w:w="120" w:type="dxa"/>
              <w:right w:w="120" w:type="dxa"/>
            </w:tcMar>
            <w:vAlign w:val="center"/>
          </w:tcPr>
          <w:p w14:paraId="18E1CCC3">
            <w:pPr>
              <w:spacing w:after="0" w:line="240" w:lineRule="auto"/>
              <w:jc w:val="left"/>
            </w:pPr>
            <w:r>
              <w:rPr>
                <w:rFonts w:ascii="Noto Serif CJK SC" w:hAnsi="Noto Serif CJK SC" w:eastAsia="Noto Serif CJK SC"/>
                <w:sz w:val="17"/>
              </w:rPr>
              <w:t>Stability of curvature proxy</w:t>
            </w:r>
          </w:p>
        </w:tc>
      </w:tr>
      <w:tr w14:paraId="6C47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20" w:type="dxa"/>
              <w:left w:w="120" w:type="dxa"/>
              <w:bottom w:w="120" w:type="dxa"/>
              <w:right w:w="120" w:type="dxa"/>
            </w:tcMar>
            <w:vAlign w:val="center"/>
          </w:tcPr>
          <w:p w14:paraId="54F75077">
            <w:pPr>
              <w:spacing w:after="0" w:line="240" w:lineRule="auto"/>
              <w:jc w:val="left"/>
            </w:pPr>
            <w:r>
              <w:rPr>
                <w:rFonts w:ascii="Noto Serif CJK SC" w:hAnsi="Noto Serif CJK SC" w:eastAsia="Noto Serif CJK SC"/>
                <w:sz w:val="17"/>
              </w:rPr>
              <w:t>Parameter perturbation results</w:t>
            </w:r>
          </w:p>
        </w:tc>
        <w:tc>
          <w:tcPr>
            <w:tcW w:w="6237" w:type="dxa"/>
            <w:tcMar>
              <w:top w:w="120" w:type="dxa"/>
              <w:left w:w="120" w:type="dxa"/>
              <w:bottom w:w="120" w:type="dxa"/>
              <w:right w:w="120" w:type="dxa"/>
            </w:tcMar>
            <w:vAlign w:val="center"/>
          </w:tcPr>
          <w:p w14:paraId="6148F527">
            <w:pPr>
              <w:spacing w:after="0" w:line="240" w:lineRule="auto"/>
              <w:jc w:val="left"/>
            </w:pPr>
            <w:r>
              <w:rPr>
                <w:rFonts w:ascii="Noto Serif CJK SC" w:hAnsi="Noto Serif CJK SC" w:eastAsia="Noto Serif CJK SC"/>
                <w:sz w:val="17"/>
              </w:rPr>
              <w:t>Robustness audit</w:t>
            </w:r>
          </w:p>
        </w:tc>
      </w:tr>
    </w:tbl>
    <w:p w14:paraId="31944C38">
      <w:pPr>
        <w:spacing w:after="120"/>
      </w:pPr>
    </w:p>
    <w:p w14:paraId="60A19CC2">
      <w:pPr>
        <w:pStyle w:val="3"/>
        <w:spacing w:before="360" w:after="160"/>
      </w:pPr>
      <w:r>
        <w:rPr>
          <w:rFonts w:ascii="Noto Serif CJK SC" w:hAnsi="Noto Serif CJK SC" w:eastAsia="Noto Serif CJK SC"/>
          <w:b/>
          <w:color w:val="143250"/>
          <w:sz w:val="32"/>
        </w:rPr>
        <w:t>12. Pass and Fail Conditions</w:t>
      </w:r>
    </w:p>
    <w:p w14:paraId="2BD23DE3">
      <w:pPr>
        <w:pStyle w:val="4"/>
        <w:spacing w:before="240" w:after="120"/>
      </w:pPr>
      <w:r>
        <w:rPr>
          <w:rFonts w:ascii="Noto Serif CJK SC" w:hAnsi="Noto Serif CJK SC" w:eastAsia="Noto Serif CJK SC"/>
          <w:b/>
          <w:color w:val="1F4E79"/>
          <w:sz w:val="26"/>
        </w:rPr>
        <w:t>12.1 Pass conditions</w:t>
      </w:r>
    </w:p>
    <w:p w14:paraId="4040483A">
      <w:pPr>
        <w:spacing w:before="0" w:after="60" w:line="283" w:lineRule="auto"/>
      </w:pPr>
      <w:r>
        <w:rPr>
          <w:rFonts w:ascii="Noto Serif CJK SC" w:hAnsi="Noto Serif CJK SC" w:eastAsia="Noto Serif CJK SC"/>
          <w:sz w:val="21"/>
        </w:rPr>
        <w:t>• All input objects come from Volumes I and II.</w:t>
      </w:r>
    </w:p>
    <w:p w14:paraId="607191DC">
      <w:pPr>
        <w:spacing w:before="0" w:after="60" w:line="283" w:lineRule="auto"/>
      </w:pPr>
      <w:r>
        <w:rPr>
          <w:rFonts w:ascii="Noto Serif CJK SC" w:hAnsi="Noto Serif CJK SC" w:eastAsia="Noto Serif CJK SC"/>
          <w:sz w:val="21"/>
        </w:rPr>
        <w:t>• Adjacency does not depend on external coordinates.</w:t>
      </w:r>
    </w:p>
    <w:p w14:paraId="68A94861">
      <w:pPr>
        <w:spacing w:before="0" w:after="60" w:line="283" w:lineRule="auto"/>
      </w:pPr>
      <w:r>
        <w:rPr>
          <w:rFonts w:ascii="Noto Serif CJK SC" w:hAnsi="Noto Serif CJK SC" w:eastAsia="Noto Serif CJK SC"/>
          <w:sz w:val="21"/>
        </w:rPr>
        <w:t>• The distance proxy is obtained by minimizing path cost.</w:t>
      </w:r>
    </w:p>
    <w:p w14:paraId="3B79CB44">
      <w:pPr>
        <w:spacing w:before="0" w:after="60" w:line="283" w:lineRule="auto"/>
      </w:pPr>
      <w:r>
        <w:rPr>
          <w:rFonts w:ascii="Noto Serif CJK SC" w:hAnsi="Noto Serif CJK SC" w:eastAsia="Noto Serif CJK SC"/>
          <w:sz w:val="21"/>
        </w:rPr>
        <w:t>• Volume growth is obtained by counting distance balls.</w:t>
      </w:r>
    </w:p>
    <w:p w14:paraId="381226F8">
      <w:pPr>
        <w:spacing w:before="0" w:after="60" w:line="283" w:lineRule="auto"/>
      </w:pPr>
      <w:r>
        <w:rPr>
          <w:rFonts w:ascii="Noto Serif CJK SC" w:hAnsi="Noto Serif CJK SC" w:eastAsia="Noto Serif CJK SC"/>
          <w:sz w:val="21"/>
        </w:rPr>
        <w:t>• Effective dimension is obtained from a volume-growth scaling exponent.</w:t>
      </w:r>
    </w:p>
    <w:p w14:paraId="1D0F2580">
      <w:pPr>
        <w:spacing w:before="0" w:after="60" w:line="283" w:lineRule="auto"/>
      </w:pPr>
      <w:r>
        <w:rPr>
          <w:rFonts w:ascii="Noto Serif CJK SC" w:hAnsi="Noto Serif CJK SC" w:eastAsia="Noto Serif CJK SC"/>
          <w:sz w:val="21"/>
        </w:rPr>
        <w:t>• The curvature proxy is obtained from volume-growth deviation.</w:t>
      </w:r>
    </w:p>
    <w:p w14:paraId="538273E5">
      <w:pPr>
        <w:spacing w:before="0" w:after="60" w:line="283" w:lineRule="auto"/>
      </w:pPr>
      <w:r>
        <w:rPr>
          <w:rFonts w:ascii="Noto Serif CJK SC" w:hAnsi="Noto Serif CJK SC" w:eastAsia="Noto Serif CJK SC"/>
          <w:sz w:val="21"/>
        </w:rPr>
        <w:t>• All objects are computationally implementable.</w:t>
      </w:r>
    </w:p>
    <w:p w14:paraId="4C2421B3">
      <w:pPr>
        <w:spacing w:before="0" w:after="60" w:line="283" w:lineRule="auto"/>
      </w:pPr>
      <w:r>
        <w:rPr>
          <w:rFonts w:ascii="Noto Serif CJK SC" w:hAnsi="Noto Serif CJK SC" w:eastAsia="Noto Serif CJK SC"/>
          <w:sz w:val="21"/>
        </w:rPr>
        <w:t>• All out-of-scope objects are marked as future targets, not current premises.</w:t>
      </w:r>
    </w:p>
    <w:p w14:paraId="494B2327">
      <w:pPr>
        <w:pStyle w:val="4"/>
        <w:spacing w:before="240" w:after="120"/>
      </w:pPr>
      <w:r>
        <w:rPr>
          <w:rFonts w:ascii="Noto Serif CJK SC" w:hAnsi="Noto Serif CJK SC" w:eastAsia="Noto Serif CJK SC"/>
          <w:b/>
          <w:color w:val="1F4E79"/>
          <w:sz w:val="26"/>
        </w:rPr>
        <w:t>12.2 Fail conditions</w:t>
      </w:r>
    </w:p>
    <w:p w14:paraId="204A8169">
      <w:pPr>
        <w:spacing w:before="0" w:after="60" w:line="283" w:lineRule="auto"/>
      </w:pPr>
      <w:r>
        <w:rPr>
          <w:rFonts w:ascii="Noto Serif CJK SC" w:hAnsi="Noto Serif CJK SC" w:eastAsia="Noto Serif CJK SC"/>
          <w:sz w:val="21"/>
        </w:rPr>
        <w:t>• Define adjacency by coordinate distance.</w:t>
      </w:r>
    </w:p>
    <w:p w14:paraId="66ADB5E5">
      <w:pPr>
        <w:spacing w:before="0" w:after="60" w:line="283" w:lineRule="auto"/>
      </w:pPr>
      <w:r>
        <w:rPr>
          <w:rFonts w:ascii="Noto Serif CJK SC" w:hAnsi="Noto Serif CJK SC" w:eastAsia="Noto Serif CJK SC"/>
          <w:sz w:val="21"/>
        </w:rPr>
        <w:t>• Define d_I* by Euclidean distance.</w:t>
      </w:r>
    </w:p>
    <w:p w14:paraId="597302FE">
      <w:pPr>
        <w:spacing w:before="0" w:after="60" w:line="283" w:lineRule="auto"/>
      </w:pPr>
      <w:r>
        <w:rPr>
          <w:rFonts w:ascii="Noto Serif CJK SC" w:hAnsi="Noto Serif CJK SC" w:eastAsia="Noto Serif CJK SC"/>
          <w:sz w:val="21"/>
        </w:rPr>
        <w:t>• Declare Σ_l to be space itself.</w:t>
      </w:r>
    </w:p>
    <w:p w14:paraId="630931CF">
      <w:pPr>
        <w:spacing w:before="0" w:after="60" w:line="283" w:lineRule="auto"/>
      </w:pPr>
      <w:r>
        <w:rPr>
          <w:rFonts w:ascii="Noto Serif CJK SC" w:hAnsi="Noto Serif CJK SC" w:eastAsia="Noto Serif CJK SC"/>
          <w:sz w:val="21"/>
        </w:rPr>
        <w:t>• Declare D_eff≈3 to be a strict proof of three-dimensional space.</w:t>
      </w:r>
    </w:p>
    <w:p w14:paraId="2A6F5947">
      <w:pPr>
        <w:spacing w:before="0" w:after="60" w:line="283" w:lineRule="auto"/>
      </w:pPr>
      <w:r>
        <w:rPr>
          <w:rFonts w:ascii="Noto Serif CJK SC" w:hAnsi="Noto Serif CJK SC" w:eastAsia="Noto Serif CJK SC"/>
          <w:sz w:val="21"/>
        </w:rPr>
        <w:t>• Declare Ric_I* to be classical Ricci curvature.</w:t>
      </w:r>
    </w:p>
    <w:p w14:paraId="1F234DE3">
      <w:pPr>
        <w:spacing w:before="0" w:after="60" w:line="283" w:lineRule="auto"/>
      </w:pPr>
      <w:r>
        <w:rPr>
          <w:rFonts w:ascii="Noto Serif CJK SC" w:hAnsi="Noto Serif CJK SC" w:eastAsia="Noto Serif CJK SC"/>
          <w:sz w:val="21"/>
        </w:rPr>
        <w:t>• Introduce g_μν before coarse-graining is established.</w:t>
      </w:r>
    </w:p>
    <w:p w14:paraId="42DBC067">
      <w:pPr>
        <w:spacing w:before="0" w:after="60" w:line="283" w:lineRule="auto"/>
      </w:pPr>
      <w:r>
        <w:rPr>
          <w:rFonts w:ascii="Noto Serif CJK SC" w:hAnsi="Noto Serif CJK SC" w:eastAsia="Noto Serif CJK SC"/>
          <w:sz w:val="21"/>
        </w:rPr>
        <w:t>• Use the Einstein field equations as a premise or conclusion in this volume.</w:t>
      </w:r>
    </w:p>
    <w:p w14:paraId="7CA45F7D">
      <w:pPr>
        <w:spacing w:before="0" w:after="60" w:line="283" w:lineRule="auto"/>
      </w:pPr>
      <w:r>
        <w:rPr>
          <w:rFonts w:ascii="Noto Serif CJK SC" w:hAnsi="Noto Serif CJK SC" w:eastAsia="Noto Serif CJK SC"/>
          <w:sz w:val="21"/>
        </w:rPr>
        <w:t>• Define adjacency, distance, or curvature in a way that cannot be implemented algorithmically.</w:t>
      </w:r>
    </w:p>
    <w:p w14:paraId="1E168F84">
      <w:pPr>
        <w:pStyle w:val="3"/>
        <w:spacing w:before="360" w:after="160"/>
      </w:pPr>
      <w:r>
        <w:rPr>
          <w:rFonts w:ascii="Noto Serif CJK SC" w:hAnsi="Noto Serif CJK SC" w:eastAsia="Noto Serif CJK SC"/>
          <w:b/>
          <w:color w:val="143250"/>
          <w:sz w:val="32"/>
        </w:rPr>
        <w:t>13. Output Interface to Volume IV</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701"/>
        <w:gridCol w:w="3118"/>
        <w:gridCol w:w="2381"/>
      </w:tblGrid>
      <w:tr w14:paraId="63C0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tcMar>
              <w:top w:w="120" w:type="dxa"/>
              <w:left w:w="120" w:type="dxa"/>
              <w:bottom w:w="120" w:type="dxa"/>
              <w:right w:w="120" w:type="dxa"/>
            </w:tcMar>
            <w:vAlign w:val="center"/>
          </w:tcPr>
          <w:p w14:paraId="6B8FF2AF">
            <w:pPr>
              <w:spacing w:after="0" w:line="240" w:lineRule="auto"/>
              <w:jc w:val="center"/>
            </w:pPr>
            <w:r>
              <w:rPr>
                <w:rFonts w:ascii="Noto Serif CJK SC" w:hAnsi="Noto Serif CJK SC" w:eastAsia="Noto Serif CJK SC"/>
                <w:b/>
                <w:color w:val="143250"/>
                <w:sz w:val="18"/>
              </w:rPr>
              <w:t>Output object</w:t>
            </w:r>
          </w:p>
        </w:tc>
        <w:tc>
          <w:tcPr>
            <w:tcW w:w="1701" w:type="dxa"/>
            <w:shd w:val="clear" w:color="auto" w:fill="D9EAF7"/>
            <w:tcMar>
              <w:top w:w="120" w:type="dxa"/>
              <w:left w:w="120" w:type="dxa"/>
              <w:bottom w:w="120" w:type="dxa"/>
              <w:right w:w="120" w:type="dxa"/>
            </w:tcMar>
            <w:vAlign w:val="center"/>
          </w:tcPr>
          <w:p w14:paraId="3843EB2C">
            <w:pPr>
              <w:spacing w:after="0" w:line="240" w:lineRule="auto"/>
              <w:jc w:val="center"/>
            </w:pPr>
            <w:r>
              <w:rPr>
                <w:rFonts w:ascii="Noto Serif CJK SC" w:hAnsi="Noto Serif CJK SC" w:eastAsia="Noto Serif CJK SC"/>
                <w:b/>
                <w:color w:val="143250"/>
                <w:sz w:val="18"/>
              </w:rPr>
              <w:t>Symbol</w:t>
            </w:r>
          </w:p>
        </w:tc>
        <w:tc>
          <w:tcPr>
            <w:tcW w:w="3118" w:type="dxa"/>
            <w:shd w:val="clear" w:color="auto" w:fill="D9EAF7"/>
            <w:tcMar>
              <w:top w:w="120" w:type="dxa"/>
              <w:left w:w="120" w:type="dxa"/>
              <w:bottom w:w="120" w:type="dxa"/>
              <w:right w:w="120" w:type="dxa"/>
            </w:tcMar>
            <w:vAlign w:val="center"/>
          </w:tcPr>
          <w:p w14:paraId="622EE38C">
            <w:pPr>
              <w:spacing w:after="0" w:line="240" w:lineRule="auto"/>
              <w:jc w:val="center"/>
            </w:pPr>
            <w:r>
              <w:rPr>
                <w:rFonts w:ascii="Noto Serif CJK SC" w:hAnsi="Noto Serif CJK SC" w:eastAsia="Noto Serif CJK SC"/>
                <w:b/>
                <w:color w:val="143250"/>
                <w:sz w:val="18"/>
              </w:rPr>
              <w:t>Meaning</w:t>
            </w:r>
          </w:p>
        </w:tc>
        <w:tc>
          <w:tcPr>
            <w:tcW w:w="2381" w:type="dxa"/>
            <w:shd w:val="clear" w:color="auto" w:fill="D9EAF7"/>
            <w:tcMar>
              <w:top w:w="120" w:type="dxa"/>
              <w:left w:w="120" w:type="dxa"/>
              <w:bottom w:w="120" w:type="dxa"/>
              <w:right w:w="120" w:type="dxa"/>
            </w:tcMar>
            <w:vAlign w:val="center"/>
          </w:tcPr>
          <w:p w14:paraId="2FFDDB41">
            <w:pPr>
              <w:spacing w:after="0" w:line="240" w:lineRule="auto"/>
              <w:jc w:val="center"/>
            </w:pPr>
            <w:r>
              <w:rPr>
                <w:rFonts w:ascii="Noto Serif CJK SC" w:hAnsi="Noto Serif CJK SC" w:eastAsia="Noto Serif CJK SC"/>
                <w:b/>
                <w:color w:val="143250"/>
                <w:sz w:val="18"/>
              </w:rPr>
              <w:t>Use in Volume IV</w:t>
            </w:r>
          </w:p>
        </w:tc>
      </w:tr>
      <w:tr w14:paraId="1BB33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48484BCC">
            <w:pPr>
              <w:spacing w:after="0" w:line="240" w:lineRule="auto"/>
              <w:jc w:val="left"/>
            </w:pPr>
            <w:r>
              <w:rPr>
                <w:rFonts w:ascii="Noto Serif CJK SC" w:hAnsi="Noto Serif CJK SC" w:eastAsia="Noto Serif CJK SC"/>
                <w:sz w:val="17"/>
              </w:rPr>
              <w:t>Causal slice</w:t>
            </w:r>
          </w:p>
        </w:tc>
        <w:tc>
          <w:tcPr>
            <w:tcW w:w="1701" w:type="dxa"/>
            <w:tcMar>
              <w:top w:w="120" w:type="dxa"/>
              <w:left w:w="120" w:type="dxa"/>
              <w:bottom w:w="120" w:type="dxa"/>
              <w:right w:w="120" w:type="dxa"/>
            </w:tcMar>
            <w:vAlign w:val="center"/>
          </w:tcPr>
          <w:p w14:paraId="73175C64">
            <w:pPr>
              <w:spacing w:after="0" w:line="240" w:lineRule="auto"/>
              <w:jc w:val="center"/>
            </w:pPr>
            <w:r>
              <w:rPr>
                <w:rFonts w:ascii="Noto Serif CJK SC" w:hAnsi="Noto Serif CJK SC" w:eastAsia="Noto Serif CJK SC"/>
                <w:sz w:val="17"/>
              </w:rPr>
              <w:t>Σ_l</w:t>
            </w:r>
          </w:p>
        </w:tc>
        <w:tc>
          <w:tcPr>
            <w:tcW w:w="3118" w:type="dxa"/>
            <w:tcMar>
              <w:top w:w="120" w:type="dxa"/>
              <w:left w:w="120" w:type="dxa"/>
              <w:bottom w:w="120" w:type="dxa"/>
              <w:right w:w="120" w:type="dxa"/>
            </w:tcMar>
            <w:vAlign w:val="center"/>
          </w:tcPr>
          <w:p w14:paraId="21811F23">
            <w:pPr>
              <w:spacing w:after="0" w:line="240" w:lineRule="auto"/>
              <w:jc w:val="left"/>
            </w:pPr>
            <w:r>
              <w:rPr>
                <w:rFonts w:ascii="Noto Serif CJK SC" w:hAnsi="Noto Serif CJK SC" w:eastAsia="Noto Serif CJK SC"/>
                <w:sz w:val="17"/>
              </w:rPr>
              <w:t>Same-layer event set from Volume II</w:t>
            </w:r>
          </w:p>
        </w:tc>
        <w:tc>
          <w:tcPr>
            <w:tcW w:w="2381" w:type="dxa"/>
            <w:tcMar>
              <w:top w:w="120" w:type="dxa"/>
              <w:left w:w="120" w:type="dxa"/>
              <w:bottom w:w="120" w:type="dxa"/>
              <w:right w:w="120" w:type="dxa"/>
            </w:tcMar>
            <w:vAlign w:val="center"/>
          </w:tcPr>
          <w:p w14:paraId="2FD546BD">
            <w:pPr>
              <w:spacing w:after="0" w:line="240" w:lineRule="auto"/>
              <w:jc w:val="left"/>
            </w:pPr>
            <w:r>
              <w:rPr>
                <w:rFonts w:ascii="Noto Serif CJK SC" w:hAnsi="Noto Serif CJK SC" w:eastAsia="Noto Serif CJK SC"/>
                <w:sz w:val="17"/>
              </w:rPr>
              <w:t>Geometric carrier</w:t>
            </w:r>
          </w:p>
        </w:tc>
      </w:tr>
      <w:tr w14:paraId="473F0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30244BF2">
            <w:pPr>
              <w:spacing w:after="0" w:line="240" w:lineRule="auto"/>
              <w:jc w:val="left"/>
            </w:pPr>
            <w:r>
              <w:rPr>
                <w:rFonts w:ascii="Noto Serif CJK SC" w:hAnsi="Noto Serif CJK SC" w:eastAsia="Noto Serif CJK SC"/>
                <w:sz w:val="17"/>
              </w:rPr>
              <w:t>Adjacency matrix</w:t>
            </w:r>
          </w:p>
        </w:tc>
        <w:tc>
          <w:tcPr>
            <w:tcW w:w="1701" w:type="dxa"/>
            <w:tcMar>
              <w:top w:w="120" w:type="dxa"/>
              <w:left w:w="120" w:type="dxa"/>
              <w:bottom w:w="120" w:type="dxa"/>
              <w:right w:w="120" w:type="dxa"/>
            </w:tcMar>
            <w:vAlign w:val="center"/>
          </w:tcPr>
          <w:p w14:paraId="7DB9BB2B">
            <w:pPr>
              <w:spacing w:after="0" w:line="240" w:lineRule="auto"/>
              <w:jc w:val="center"/>
            </w:pPr>
            <w:r>
              <w:rPr>
                <w:rFonts w:ascii="Noto Serif CJK SC" w:hAnsi="Noto Serif CJK SC" w:eastAsia="Noto Serif CJK SC"/>
                <w:sz w:val="17"/>
              </w:rPr>
              <w:t>A_Σ</w:t>
            </w:r>
          </w:p>
        </w:tc>
        <w:tc>
          <w:tcPr>
            <w:tcW w:w="3118" w:type="dxa"/>
            <w:tcMar>
              <w:top w:w="120" w:type="dxa"/>
              <w:left w:w="120" w:type="dxa"/>
              <w:bottom w:w="120" w:type="dxa"/>
              <w:right w:w="120" w:type="dxa"/>
            </w:tcMar>
            <w:vAlign w:val="center"/>
          </w:tcPr>
          <w:p w14:paraId="59C170FF">
            <w:pPr>
              <w:spacing w:after="0" w:line="240" w:lineRule="auto"/>
              <w:jc w:val="left"/>
            </w:pPr>
            <w:r>
              <w:rPr>
                <w:rFonts w:ascii="Noto Serif CJK SC" w:hAnsi="Noto Serif CJK SC" w:eastAsia="Noto Serif CJK SC"/>
                <w:sz w:val="17"/>
              </w:rPr>
              <w:t>Relational adjacency inside the slice</w:t>
            </w:r>
          </w:p>
        </w:tc>
        <w:tc>
          <w:tcPr>
            <w:tcW w:w="2381" w:type="dxa"/>
            <w:tcMar>
              <w:top w:w="120" w:type="dxa"/>
              <w:left w:w="120" w:type="dxa"/>
              <w:bottom w:w="120" w:type="dxa"/>
              <w:right w:w="120" w:type="dxa"/>
            </w:tcMar>
            <w:vAlign w:val="center"/>
          </w:tcPr>
          <w:p w14:paraId="5F3E6737">
            <w:pPr>
              <w:spacing w:after="0" w:line="240" w:lineRule="auto"/>
              <w:jc w:val="left"/>
            </w:pPr>
            <w:r>
              <w:rPr>
                <w:rFonts w:ascii="Noto Serif CJK SC" w:hAnsi="Noto Serif CJK SC" w:eastAsia="Noto Serif CJK SC"/>
                <w:sz w:val="17"/>
              </w:rPr>
              <w:t>Discrete spatial graph</w:t>
            </w:r>
          </w:p>
        </w:tc>
      </w:tr>
      <w:tr w14:paraId="785A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51C11FC2">
            <w:pPr>
              <w:spacing w:after="0" w:line="240" w:lineRule="auto"/>
              <w:jc w:val="left"/>
            </w:pPr>
            <w:r>
              <w:rPr>
                <w:rFonts w:ascii="Noto Serif CJK SC" w:hAnsi="Noto Serif CJK SC" w:eastAsia="Noto Serif CJK SC"/>
                <w:sz w:val="17"/>
              </w:rPr>
              <w:t>Adjacency graph</w:t>
            </w:r>
          </w:p>
        </w:tc>
        <w:tc>
          <w:tcPr>
            <w:tcW w:w="1701" w:type="dxa"/>
            <w:tcMar>
              <w:top w:w="120" w:type="dxa"/>
              <w:left w:w="120" w:type="dxa"/>
              <w:bottom w:w="120" w:type="dxa"/>
              <w:right w:w="120" w:type="dxa"/>
            </w:tcMar>
            <w:vAlign w:val="center"/>
          </w:tcPr>
          <w:p w14:paraId="4A9CE9CF">
            <w:pPr>
              <w:spacing w:after="0" w:line="240" w:lineRule="auto"/>
              <w:jc w:val="center"/>
            </w:pPr>
            <w:r>
              <w:rPr>
                <w:rFonts w:ascii="Noto Serif CJK SC" w:hAnsi="Noto Serif CJK SC" w:eastAsia="Noto Serif CJK SC"/>
                <w:sz w:val="17"/>
              </w:rPr>
              <w:t>G_{Σ_l}</w:t>
            </w:r>
          </w:p>
        </w:tc>
        <w:tc>
          <w:tcPr>
            <w:tcW w:w="3118" w:type="dxa"/>
            <w:tcMar>
              <w:top w:w="120" w:type="dxa"/>
              <w:left w:w="120" w:type="dxa"/>
              <w:bottom w:w="120" w:type="dxa"/>
              <w:right w:w="120" w:type="dxa"/>
            </w:tcMar>
            <w:vAlign w:val="center"/>
          </w:tcPr>
          <w:p w14:paraId="66E5C351">
            <w:pPr>
              <w:spacing w:after="0" w:line="240" w:lineRule="auto"/>
              <w:jc w:val="left"/>
            </w:pPr>
            <w:r>
              <w:rPr>
                <w:rFonts w:ascii="Noto Serif CJK SC" w:hAnsi="Noto Serif CJK SC" w:eastAsia="Noto Serif CJK SC"/>
                <w:sz w:val="17"/>
              </w:rPr>
              <w:t>Graph of events and adjacency edges</w:t>
            </w:r>
          </w:p>
        </w:tc>
        <w:tc>
          <w:tcPr>
            <w:tcW w:w="2381" w:type="dxa"/>
            <w:tcMar>
              <w:top w:w="120" w:type="dxa"/>
              <w:left w:w="120" w:type="dxa"/>
              <w:bottom w:w="120" w:type="dxa"/>
              <w:right w:w="120" w:type="dxa"/>
            </w:tcMar>
            <w:vAlign w:val="center"/>
          </w:tcPr>
          <w:p w14:paraId="59A15A95">
            <w:pPr>
              <w:spacing w:after="0" w:line="240" w:lineRule="auto"/>
              <w:jc w:val="left"/>
            </w:pPr>
            <w:r>
              <w:rPr>
                <w:rFonts w:ascii="Noto Serif CJK SC" w:hAnsi="Noto Serif CJK SC" w:eastAsia="Noto Serif CJK SC"/>
                <w:sz w:val="17"/>
              </w:rPr>
              <w:t>Path and scale computation</w:t>
            </w:r>
          </w:p>
        </w:tc>
      </w:tr>
      <w:tr w14:paraId="7F7A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731B52B0">
            <w:pPr>
              <w:spacing w:after="0" w:line="240" w:lineRule="auto"/>
              <w:jc w:val="center"/>
            </w:pPr>
            <w:r>
              <w:rPr>
                <w:rFonts w:ascii="Noto Serif CJK SC" w:hAnsi="Noto Serif CJK SC" w:eastAsia="Noto Serif CJK SC"/>
                <w:sz w:val="17"/>
              </w:rPr>
              <w:t>Edge cost</w:t>
            </w:r>
          </w:p>
        </w:tc>
        <w:tc>
          <w:tcPr>
            <w:tcW w:w="1701" w:type="dxa"/>
            <w:tcMar>
              <w:top w:w="120" w:type="dxa"/>
              <w:left w:w="120" w:type="dxa"/>
              <w:bottom w:w="120" w:type="dxa"/>
              <w:right w:w="120" w:type="dxa"/>
            </w:tcMar>
            <w:vAlign w:val="center"/>
          </w:tcPr>
          <w:p w14:paraId="6E0C04E5">
            <w:pPr>
              <w:spacing w:after="0" w:line="240" w:lineRule="auto"/>
              <w:jc w:val="center"/>
            </w:pPr>
            <w:r>
              <w:rPr>
                <w:rFonts w:ascii="Noto Serif CJK SC" w:hAnsi="Noto Serif CJK SC" w:eastAsia="Noto Serif CJK SC"/>
                <w:sz w:val="17"/>
              </w:rPr>
              <w:t>c_I</w:t>
            </w:r>
          </w:p>
        </w:tc>
        <w:tc>
          <w:tcPr>
            <w:tcW w:w="3118" w:type="dxa"/>
            <w:tcMar>
              <w:top w:w="120" w:type="dxa"/>
              <w:left w:w="120" w:type="dxa"/>
              <w:bottom w:w="120" w:type="dxa"/>
              <w:right w:w="120" w:type="dxa"/>
            </w:tcMar>
            <w:vAlign w:val="center"/>
          </w:tcPr>
          <w:p w14:paraId="1279BB59">
            <w:pPr>
              <w:spacing w:after="0" w:line="240" w:lineRule="auto"/>
              <w:jc w:val="left"/>
            </w:pPr>
            <w:r>
              <w:rPr>
                <w:rFonts w:ascii="Noto Serif CJK SC" w:hAnsi="Noto Serif CJK SC" w:eastAsia="Noto Serif CJK SC"/>
                <w:sz w:val="17"/>
              </w:rPr>
              <w:t>Relational cost on adjacency edges</w:t>
            </w:r>
          </w:p>
        </w:tc>
        <w:tc>
          <w:tcPr>
            <w:tcW w:w="2381" w:type="dxa"/>
            <w:tcMar>
              <w:top w:w="120" w:type="dxa"/>
              <w:left w:w="120" w:type="dxa"/>
              <w:bottom w:w="120" w:type="dxa"/>
              <w:right w:w="120" w:type="dxa"/>
            </w:tcMar>
            <w:vAlign w:val="center"/>
          </w:tcPr>
          <w:p w14:paraId="75306704">
            <w:pPr>
              <w:spacing w:after="0" w:line="240" w:lineRule="auto"/>
              <w:jc w:val="left"/>
            </w:pPr>
            <w:r>
              <w:rPr>
                <w:rFonts w:ascii="Noto Serif CJK SC" w:hAnsi="Noto Serif CJK SC" w:eastAsia="Noto Serif CJK SC"/>
                <w:sz w:val="17"/>
              </w:rPr>
              <w:t>Path length</w:t>
            </w:r>
          </w:p>
        </w:tc>
      </w:tr>
      <w:tr w14:paraId="71E0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0AD39566">
            <w:pPr>
              <w:spacing w:after="0" w:line="240" w:lineRule="auto"/>
              <w:jc w:val="center"/>
            </w:pPr>
            <w:r>
              <w:rPr>
                <w:rFonts w:ascii="Noto Serif CJK SC" w:hAnsi="Noto Serif CJK SC" w:eastAsia="Noto Serif CJK SC"/>
                <w:sz w:val="17"/>
              </w:rPr>
              <w:t>Path cost</w:t>
            </w:r>
          </w:p>
        </w:tc>
        <w:tc>
          <w:tcPr>
            <w:tcW w:w="1701" w:type="dxa"/>
            <w:tcMar>
              <w:top w:w="120" w:type="dxa"/>
              <w:left w:w="120" w:type="dxa"/>
              <w:bottom w:w="120" w:type="dxa"/>
              <w:right w:w="120" w:type="dxa"/>
            </w:tcMar>
            <w:vAlign w:val="center"/>
          </w:tcPr>
          <w:p w14:paraId="432C7D3C">
            <w:pPr>
              <w:spacing w:after="0" w:line="240" w:lineRule="auto"/>
              <w:jc w:val="center"/>
            </w:pPr>
            <w:r>
              <w:rPr>
                <w:rFonts w:ascii="Noto Serif CJK SC" w:hAnsi="Noto Serif CJK SC" w:eastAsia="Noto Serif CJK SC"/>
                <w:sz w:val="17"/>
              </w:rPr>
              <w:t>C_I</w:t>
            </w:r>
          </w:p>
        </w:tc>
        <w:tc>
          <w:tcPr>
            <w:tcW w:w="3118" w:type="dxa"/>
            <w:tcMar>
              <w:top w:w="120" w:type="dxa"/>
              <w:left w:w="120" w:type="dxa"/>
              <w:bottom w:w="120" w:type="dxa"/>
              <w:right w:w="120" w:type="dxa"/>
            </w:tcMar>
            <w:vAlign w:val="center"/>
          </w:tcPr>
          <w:p w14:paraId="1EB0ECE4">
            <w:pPr>
              <w:spacing w:after="0" w:line="240" w:lineRule="auto"/>
              <w:jc w:val="left"/>
            </w:pPr>
            <w:r>
              <w:rPr>
                <w:rFonts w:ascii="Noto Serif CJK SC" w:hAnsi="Noto Serif CJK SC" w:eastAsia="Noto Serif CJK SC"/>
                <w:sz w:val="17"/>
              </w:rPr>
              <w:t>Total path cost</w:t>
            </w:r>
          </w:p>
        </w:tc>
        <w:tc>
          <w:tcPr>
            <w:tcW w:w="2381" w:type="dxa"/>
            <w:tcMar>
              <w:top w:w="120" w:type="dxa"/>
              <w:left w:w="120" w:type="dxa"/>
              <w:bottom w:w="120" w:type="dxa"/>
              <w:right w:w="120" w:type="dxa"/>
            </w:tcMar>
            <w:vAlign w:val="center"/>
          </w:tcPr>
          <w:p w14:paraId="3E4EBC8D">
            <w:pPr>
              <w:spacing w:after="0" w:line="240" w:lineRule="auto"/>
              <w:jc w:val="left"/>
            </w:pPr>
            <w:r>
              <w:rPr>
                <w:rFonts w:ascii="Noto Serif CJK SC" w:hAnsi="Noto Serif CJK SC" w:eastAsia="Noto Serif CJK SC"/>
                <w:sz w:val="17"/>
              </w:rPr>
              <w:t>Shortest-path computation</w:t>
            </w:r>
          </w:p>
        </w:tc>
      </w:tr>
      <w:tr w14:paraId="76D7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1BCD01F4">
            <w:pPr>
              <w:spacing w:after="0" w:line="240" w:lineRule="auto"/>
              <w:jc w:val="left"/>
            </w:pPr>
            <w:r>
              <w:rPr>
                <w:rFonts w:ascii="Noto Serif CJK SC" w:hAnsi="Noto Serif CJK SC" w:eastAsia="Noto Serif CJK SC"/>
                <w:sz w:val="17"/>
              </w:rPr>
              <w:t>Distance proxy</w:t>
            </w:r>
          </w:p>
        </w:tc>
        <w:tc>
          <w:tcPr>
            <w:tcW w:w="1701" w:type="dxa"/>
            <w:tcMar>
              <w:top w:w="120" w:type="dxa"/>
              <w:left w:w="120" w:type="dxa"/>
              <w:bottom w:w="120" w:type="dxa"/>
              <w:right w:w="120" w:type="dxa"/>
            </w:tcMar>
            <w:vAlign w:val="center"/>
          </w:tcPr>
          <w:p w14:paraId="222A957F">
            <w:pPr>
              <w:spacing w:after="0" w:line="240" w:lineRule="auto"/>
              <w:jc w:val="center"/>
            </w:pPr>
            <w:r>
              <w:rPr>
                <w:rFonts w:ascii="Noto Serif CJK SC" w:hAnsi="Noto Serif CJK SC" w:eastAsia="Noto Serif CJK SC"/>
                <w:sz w:val="17"/>
              </w:rPr>
              <w:t>d_I*</w:t>
            </w:r>
          </w:p>
        </w:tc>
        <w:tc>
          <w:tcPr>
            <w:tcW w:w="3118" w:type="dxa"/>
            <w:tcMar>
              <w:top w:w="120" w:type="dxa"/>
              <w:left w:w="120" w:type="dxa"/>
              <w:bottom w:w="120" w:type="dxa"/>
              <w:right w:w="120" w:type="dxa"/>
            </w:tcMar>
            <w:vAlign w:val="center"/>
          </w:tcPr>
          <w:p w14:paraId="6B3B5291">
            <w:pPr>
              <w:spacing w:after="0" w:line="240" w:lineRule="auto"/>
              <w:jc w:val="left"/>
            </w:pPr>
            <w:r>
              <w:rPr>
                <w:rFonts w:ascii="Noto Serif CJK SC" w:hAnsi="Noto Serif CJK SC" w:eastAsia="Noto Serif CJK SC"/>
                <w:sz w:val="17"/>
              </w:rPr>
              <w:t>Minimum path cost</w:t>
            </w:r>
          </w:p>
        </w:tc>
        <w:tc>
          <w:tcPr>
            <w:tcW w:w="2381" w:type="dxa"/>
            <w:tcMar>
              <w:top w:w="120" w:type="dxa"/>
              <w:left w:w="120" w:type="dxa"/>
              <w:bottom w:w="120" w:type="dxa"/>
              <w:right w:w="120" w:type="dxa"/>
            </w:tcMar>
            <w:vAlign w:val="center"/>
          </w:tcPr>
          <w:p w14:paraId="0EA6F4AA">
            <w:pPr>
              <w:spacing w:after="0" w:line="240" w:lineRule="auto"/>
              <w:jc w:val="left"/>
            </w:pPr>
            <w:r>
              <w:rPr>
                <w:rFonts w:ascii="Noto Serif CJK SC" w:hAnsi="Noto Serif CJK SC" w:eastAsia="Noto Serif CJK SC"/>
                <w:sz w:val="17"/>
              </w:rPr>
              <w:t>Coarse-grained distance candidate</w:t>
            </w:r>
          </w:p>
        </w:tc>
      </w:tr>
      <w:tr w14:paraId="61F2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6AE1AF0D">
            <w:pPr>
              <w:spacing w:after="0" w:line="240" w:lineRule="auto"/>
              <w:jc w:val="left"/>
            </w:pPr>
            <w:r>
              <w:rPr>
                <w:rFonts w:ascii="Noto Serif CJK SC" w:hAnsi="Noto Serif CJK SC" w:eastAsia="Noto Serif CJK SC"/>
                <w:sz w:val="17"/>
              </w:rPr>
              <w:t>Distance ball</w:t>
            </w:r>
          </w:p>
        </w:tc>
        <w:tc>
          <w:tcPr>
            <w:tcW w:w="1701" w:type="dxa"/>
            <w:tcMar>
              <w:top w:w="120" w:type="dxa"/>
              <w:left w:w="120" w:type="dxa"/>
              <w:bottom w:w="120" w:type="dxa"/>
              <w:right w:w="120" w:type="dxa"/>
            </w:tcMar>
            <w:vAlign w:val="center"/>
          </w:tcPr>
          <w:p w14:paraId="128244DD">
            <w:pPr>
              <w:spacing w:after="0" w:line="240" w:lineRule="auto"/>
              <w:jc w:val="center"/>
            </w:pPr>
            <w:r>
              <w:rPr>
                <w:rFonts w:ascii="Noto Serif CJK SC" w:hAnsi="Noto Serif CJK SC" w:eastAsia="Noto Serif CJK SC"/>
                <w:sz w:val="17"/>
              </w:rPr>
              <w:t>B_I(e,r)</w:t>
            </w:r>
          </w:p>
        </w:tc>
        <w:tc>
          <w:tcPr>
            <w:tcW w:w="3118" w:type="dxa"/>
            <w:tcMar>
              <w:top w:w="120" w:type="dxa"/>
              <w:left w:w="120" w:type="dxa"/>
              <w:bottom w:w="120" w:type="dxa"/>
              <w:right w:w="120" w:type="dxa"/>
            </w:tcMar>
            <w:vAlign w:val="center"/>
          </w:tcPr>
          <w:p w14:paraId="59CA73FD">
            <w:pPr>
              <w:spacing w:after="0" w:line="240" w:lineRule="auto"/>
              <w:jc w:val="left"/>
            </w:pPr>
            <w:r>
              <w:rPr>
                <w:rFonts w:ascii="Noto Serif CJK SC" w:hAnsi="Noto Serif CJK SC" w:eastAsia="Noto Serif CJK SC"/>
                <w:sz w:val="17"/>
              </w:rPr>
              <w:t>Events within radius r</w:t>
            </w:r>
          </w:p>
        </w:tc>
        <w:tc>
          <w:tcPr>
            <w:tcW w:w="2381" w:type="dxa"/>
            <w:tcMar>
              <w:top w:w="120" w:type="dxa"/>
              <w:left w:w="120" w:type="dxa"/>
              <w:bottom w:w="120" w:type="dxa"/>
              <w:right w:w="120" w:type="dxa"/>
            </w:tcMar>
            <w:vAlign w:val="center"/>
          </w:tcPr>
          <w:p w14:paraId="3807E399">
            <w:pPr>
              <w:spacing w:after="0" w:line="240" w:lineRule="auto"/>
              <w:jc w:val="left"/>
            </w:pPr>
            <w:r>
              <w:rPr>
                <w:rFonts w:ascii="Noto Serif CJK SC" w:hAnsi="Noto Serif CJK SC" w:eastAsia="Noto Serif CJK SC"/>
                <w:sz w:val="17"/>
              </w:rPr>
              <w:t>Volume growth</w:t>
            </w:r>
          </w:p>
        </w:tc>
      </w:tr>
      <w:tr w14:paraId="2195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31361E57">
            <w:pPr>
              <w:spacing w:after="0" w:line="240" w:lineRule="auto"/>
              <w:jc w:val="left"/>
            </w:pPr>
            <w:r>
              <w:rPr>
                <w:rFonts w:ascii="Noto Serif CJK SC" w:hAnsi="Noto Serif CJK SC" w:eastAsia="Noto Serif CJK SC"/>
                <w:sz w:val="17"/>
              </w:rPr>
              <w:t>Volume function</w:t>
            </w:r>
          </w:p>
        </w:tc>
        <w:tc>
          <w:tcPr>
            <w:tcW w:w="1701" w:type="dxa"/>
            <w:tcMar>
              <w:top w:w="120" w:type="dxa"/>
              <w:left w:w="120" w:type="dxa"/>
              <w:bottom w:w="120" w:type="dxa"/>
              <w:right w:w="120" w:type="dxa"/>
            </w:tcMar>
            <w:vAlign w:val="center"/>
          </w:tcPr>
          <w:p w14:paraId="3F08730D">
            <w:pPr>
              <w:spacing w:after="0" w:line="240" w:lineRule="auto"/>
              <w:jc w:val="center"/>
            </w:pPr>
            <w:r>
              <w:rPr>
                <w:rFonts w:ascii="Noto Serif CJK SC" w:hAnsi="Noto Serif CJK SC" w:eastAsia="Noto Serif CJK SC"/>
                <w:sz w:val="17"/>
              </w:rPr>
              <w:t>V_I(e,r)</w:t>
            </w:r>
          </w:p>
        </w:tc>
        <w:tc>
          <w:tcPr>
            <w:tcW w:w="3118" w:type="dxa"/>
            <w:tcMar>
              <w:top w:w="120" w:type="dxa"/>
              <w:left w:w="120" w:type="dxa"/>
              <w:bottom w:w="120" w:type="dxa"/>
              <w:right w:w="120" w:type="dxa"/>
            </w:tcMar>
            <w:vAlign w:val="center"/>
          </w:tcPr>
          <w:p w14:paraId="3AB5B19F">
            <w:pPr>
              <w:spacing w:after="0" w:line="240" w:lineRule="auto"/>
              <w:jc w:val="left"/>
            </w:pPr>
            <w:r>
              <w:rPr>
                <w:rFonts w:ascii="Noto Serif CJK SC" w:hAnsi="Noto Serif CJK SC" w:eastAsia="Noto Serif CJK SC"/>
                <w:sz w:val="17"/>
              </w:rPr>
              <w:t>Size of a distance ball</w:t>
            </w:r>
          </w:p>
        </w:tc>
        <w:tc>
          <w:tcPr>
            <w:tcW w:w="2381" w:type="dxa"/>
            <w:tcMar>
              <w:top w:w="120" w:type="dxa"/>
              <w:left w:w="120" w:type="dxa"/>
              <w:bottom w:w="120" w:type="dxa"/>
              <w:right w:w="120" w:type="dxa"/>
            </w:tcMar>
            <w:vAlign w:val="center"/>
          </w:tcPr>
          <w:p w14:paraId="77FC226A">
            <w:pPr>
              <w:spacing w:after="0" w:line="240" w:lineRule="auto"/>
              <w:jc w:val="left"/>
            </w:pPr>
            <w:r>
              <w:rPr>
                <w:rFonts w:ascii="Noto Serif CJK SC" w:hAnsi="Noto Serif CJK SC" w:eastAsia="Noto Serif CJK SC"/>
                <w:sz w:val="17"/>
              </w:rPr>
              <w:t>Dimension and curvature proxies</w:t>
            </w:r>
          </w:p>
        </w:tc>
      </w:tr>
      <w:tr w14:paraId="0D62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3C9E7403">
            <w:pPr>
              <w:spacing w:after="0" w:line="240" w:lineRule="auto"/>
              <w:jc w:val="left"/>
            </w:pPr>
            <w:r>
              <w:rPr>
                <w:rFonts w:ascii="Noto Serif CJK SC" w:hAnsi="Noto Serif CJK SC" w:eastAsia="Noto Serif CJK SC"/>
                <w:sz w:val="17"/>
              </w:rPr>
              <w:t>Effective dimension</w:t>
            </w:r>
          </w:p>
        </w:tc>
        <w:tc>
          <w:tcPr>
            <w:tcW w:w="1701" w:type="dxa"/>
            <w:tcMar>
              <w:top w:w="120" w:type="dxa"/>
              <w:left w:w="120" w:type="dxa"/>
              <w:bottom w:w="120" w:type="dxa"/>
              <w:right w:w="120" w:type="dxa"/>
            </w:tcMar>
            <w:vAlign w:val="center"/>
          </w:tcPr>
          <w:p w14:paraId="3F74D086">
            <w:pPr>
              <w:spacing w:after="0" w:line="240" w:lineRule="auto"/>
              <w:jc w:val="center"/>
            </w:pPr>
            <w:r>
              <w:rPr>
                <w:rFonts w:ascii="Noto Serif CJK SC" w:hAnsi="Noto Serif CJK SC" w:eastAsia="Noto Serif CJK SC"/>
                <w:sz w:val="17"/>
              </w:rPr>
              <w:t>D_eff</w:t>
            </w:r>
          </w:p>
        </w:tc>
        <w:tc>
          <w:tcPr>
            <w:tcW w:w="3118" w:type="dxa"/>
            <w:tcMar>
              <w:top w:w="120" w:type="dxa"/>
              <w:left w:w="120" w:type="dxa"/>
              <w:bottom w:w="120" w:type="dxa"/>
              <w:right w:w="120" w:type="dxa"/>
            </w:tcMar>
            <w:vAlign w:val="center"/>
          </w:tcPr>
          <w:p w14:paraId="571940D4">
            <w:pPr>
              <w:spacing w:after="0" w:line="240" w:lineRule="auto"/>
              <w:jc w:val="left"/>
            </w:pPr>
            <w:r>
              <w:rPr>
                <w:rFonts w:ascii="Noto Serif CJK SC" w:hAnsi="Noto Serif CJK SC" w:eastAsia="Noto Serif CJK SC"/>
                <w:sz w:val="17"/>
              </w:rPr>
              <w:t>Volume-growth exponent</w:t>
            </w:r>
          </w:p>
        </w:tc>
        <w:tc>
          <w:tcPr>
            <w:tcW w:w="2381" w:type="dxa"/>
            <w:tcMar>
              <w:top w:w="120" w:type="dxa"/>
              <w:left w:w="120" w:type="dxa"/>
              <w:bottom w:w="120" w:type="dxa"/>
              <w:right w:w="120" w:type="dxa"/>
            </w:tcMar>
            <w:vAlign w:val="center"/>
          </w:tcPr>
          <w:p w14:paraId="7CE03A31">
            <w:pPr>
              <w:spacing w:after="0" w:line="240" w:lineRule="auto"/>
              <w:jc w:val="left"/>
            </w:pPr>
            <w:r>
              <w:rPr>
                <w:rFonts w:ascii="Noto Serif CJK SC" w:hAnsi="Noto Serif CJK SC" w:eastAsia="Noto Serif CJK SC"/>
                <w:sz w:val="17"/>
              </w:rPr>
              <w:t>Dimension candidate</w:t>
            </w:r>
          </w:p>
        </w:tc>
      </w:tr>
      <w:tr w14:paraId="699A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120" w:type="dxa"/>
              <w:left w:w="120" w:type="dxa"/>
              <w:bottom w:w="120" w:type="dxa"/>
              <w:right w:w="120" w:type="dxa"/>
            </w:tcMar>
            <w:vAlign w:val="center"/>
          </w:tcPr>
          <w:p w14:paraId="2BBBECF6">
            <w:pPr>
              <w:spacing w:after="0" w:line="240" w:lineRule="auto"/>
              <w:jc w:val="left"/>
            </w:pPr>
            <w:r>
              <w:rPr>
                <w:rFonts w:ascii="Noto Serif CJK SC" w:hAnsi="Noto Serif CJK SC" w:eastAsia="Noto Serif CJK SC"/>
                <w:sz w:val="17"/>
              </w:rPr>
              <w:t>Curvature proxy</w:t>
            </w:r>
          </w:p>
        </w:tc>
        <w:tc>
          <w:tcPr>
            <w:tcW w:w="1701" w:type="dxa"/>
            <w:tcMar>
              <w:top w:w="120" w:type="dxa"/>
              <w:left w:w="120" w:type="dxa"/>
              <w:bottom w:w="120" w:type="dxa"/>
              <w:right w:w="120" w:type="dxa"/>
            </w:tcMar>
            <w:vAlign w:val="center"/>
          </w:tcPr>
          <w:p w14:paraId="51F5939D">
            <w:pPr>
              <w:spacing w:after="0" w:line="240" w:lineRule="auto"/>
              <w:jc w:val="center"/>
            </w:pPr>
            <w:r>
              <w:rPr>
                <w:rFonts w:ascii="Noto Serif CJK SC" w:hAnsi="Noto Serif CJK SC" w:eastAsia="Noto Serif CJK SC"/>
                <w:sz w:val="17"/>
              </w:rPr>
              <w:t>Ric_I*</w:t>
            </w:r>
          </w:p>
        </w:tc>
        <w:tc>
          <w:tcPr>
            <w:tcW w:w="3118" w:type="dxa"/>
            <w:tcMar>
              <w:top w:w="120" w:type="dxa"/>
              <w:left w:w="120" w:type="dxa"/>
              <w:bottom w:w="120" w:type="dxa"/>
              <w:right w:w="120" w:type="dxa"/>
            </w:tcMar>
            <w:vAlign w:val="center"/>
          </w:tcPr>
          <w:p w14:paraId="5CF31B5D">
            <w:pPr>
              <w:spacing w:after="0" w:line="240" w:lineRule="auto"/>
              <w:jc w:val="left"/>
            </w:pPr>
            <w:r>
              <w:rPr>
                <w:rFonts w:ascii="Noto Serif CJK SC" w:hAnsi="Noto Serif CJK SC" w:eastAsia="Noto Serif CJK SC"/>
                <w:sz w:val="17"/>
              </w:rPr>
              <w:t>Volume-growth deviation</w:t>
            </w:r>
          </w:p>
        </w:tc>
        <w:tc>
          <w:tcPr>
            <w:tcW w:w="2381" w:type="dxa"/>
            <w:tcMar>
              <w:top w:w="120" w:type="dxa"/>
              <w:left w:w="120" w:type="dxa"/>
              <w:bottom w:w="120" w:type="dxa"/>
              <w:right w:w="120" w:type="dxa"/>
            </w:tcMar>
            <w:vAlign w:val="center"/>
          </w:tcPr>
          <w:p w14:paraId="1126AA60">
            <w:pPr>
              <w:spacing w:after="0" w:line="240" w:lineRule="auto"/>
              <w:jc w:val="left"/>
            </w:pPr>
            <w:r>
              <w:rPr>
                <w:rFonts w:ascii="Noto Serif CJK SC" w:hAnsi="Noto Serif CJK SC" w:eastAsia="Noto Serif CJK SC"/>
                <w:sz w:val="17"/>
              </w:rPr>
              <w:t>Continuum-curvature interface</w:t>
            </w:r>
          </w:p>
        </w:tc>
      </w:tr>
    </w:tbl>
    <w:p w14:paraId="0C439C1C">
      <w:pPr>
        <w:spacing w:after="120"/>
      </w:pPr>
    </w:p>
    <w:p w14:paraId="52CED545">
      <w:pPr>
        <w:pStyle w:val="3"/>
        <w:spacing w:before="360" w:after="160"/>
      </w:pPr>
      <w:r>
        <w:rPr>
          <w:rFonts w:ascii="Noto Serif CJK SC" w:hAnsi="Noto Serif CJK SC" w:eastAsia="Noto Serif CJK SC"/>
          <w:b/>
          <w:color w:val="143250"/>
          <w:sz w:val="32"/>
        </w:rPr>
        <w:t>14. R1.0 Summary and Verdict</w:t>
      </w:r>
    </w:p>
    <w:p w14:paraId="46583CB2">
      <w:pPr>
        <w:spacing w:before="0" w:after="120" w:line="283" w:lineRule="auto"/>
      </w:pPr>
      <w:r>
        <w:rPr>
          <w:rFonts w:ascii="Noto Serif CJK SC" w:hAnsi="Noto Serif CJK SC" w:eastAsia="Noto Serif CJK SC"/>
          <w:sz w:val="21"/>
        </w:rPr>
        <w:t>This volume completes the first construction from causal slices to a discrete geometric interface. It distinguishes causal slices from spatial geometry, defines fully relational slice adjacency, introduces weighted path costs and the distance proxy d_I*, and constructs distance balls, volume growth, effective-dimensional proxies, and curvature proxies.</w:t>
      </w:r>
    </w:p>
    <w:tbl>
      <w:tblPr>
        <w:tblStyle w:val="32"/>
        <w:tblW w:w="0" w:type="auto"/>
        <w:jc w:val="center"/>
        <w:tblLayout w:type="autofit"/>
        <w:tblCellMar>
          <w:top w:w="0" w:type="dxa"/>
          <w:left w:w="108" w:type="dxa"/>
          <w:bottom w:w="0" w:type="dxa"/>
          <w:right w:w="108" w:type="dxa"/>
        </w:tblCellMar>
      </w:tblPr>
      <w:tblGrid>
        <w:gridCol w:w="9576"/>
      </w:tblGrid>
      <w:tr w14:paraId="13A06A5E">
        <w:tblPrEx>
          <w:tblCellMar>
            <w:top w:w="0" w:type="dxa"/>
            <w:left w:w="108" w:type="dxa"/>
            <w:bottom w:w="0" w:type="dxa"/>
            <w:right w:w="108" w:type="dxa"/>
          </w:tblCellMar>
        </w:tblPrEx>
        <w:trPr>
          <w:jc w:val="center"/>
        </w:trPr>
        <w:tc>
          <w:tcPr>
            <w:tcW w:w="9576" w:type="dxa"/>
            <w:shd w:val="clear" w:color="auto" w:fill="EAF3F8"/>
            <w:tcMar>
              <w:top w:w="180" w:type="dxa"/>
              <w:left w:w="220" w:type="dxa"/>
              <w:bottom w:w="180" w:type="dxa"/>
              <w:right w:w="220" w:type="dxa"/>
            </w:tcMar>
          </w:tcPr>
          <w:p w14:paraId="64BA7F4A">
            <w:pPr>
              <w:spacing w:after="60"/>
            </w:pPr>
            <w:r>
              <w:rPr>
                <w:rFonts w:ascii="Noto Serif CJK SC" w:hAnsi="Noto Serif CJK SC" w:eastAsia="Noto Serif CJK SC"/>
                <w:b/>
                <w:color w:val="143250"/>
                <w:sz w:val="21"/>
              </w:rPr>
              <w:t>R1.0 conclusion</w:t>
            </w:r>
          </w:p>
          <w:p w14:paraId="0284F7A0">
            <w:pPr>
              <w:spacing w:after="0" w:line="269" w:lineRule="auto"/>
            </w:pPr>
            <w:r>
              <w:rPr>
                <w:rFonts w:ascii="Noto Serif CJK SC" w:hAnsi="Noto Serif CJK SC" w:eastAsia="Noto Serif CJK SC"/>
                <w:color w:val="282828"/>
                <w:sz w:val="20"/>
              </w:rPr>
              <w:t>Given the causal slices obtained in Volume II, one can construct a background-independent discrete geometric interface consisting of adjacency, path cost, distance proxy, volume growth, effective dimension, and curvature proxy. This interface becomes the input for the coarse-grained continuum reconstruction of Volume IV.</w:t>
            </w:r>
          </w:p>
        </w:tc>
      </w:tr>
    </w:tbl>
    <w:p w14:paraId="57D5FD4D">
      <w:pPr>
        <w:spacing w:after="40"/>
      </w:pPr>
    </w:p>
    <w:p w14:paraId="669BE8CB">
      <w:pPr>
        <w:pStyle w:val="3"/>
        <w:spacing w:before="360" w:after="160"/>
      </w:pPr>
      <w:r>
        <w:rPr>
          <w:rFonts w:ascii="Noto Serif CJK SC" w:hAnsi="Noto Serif CJK SC" w:eastAsia="Noto Serif CJK SC"/>
          <w:b/>
          <w:color w:val="143250"/>
          <w:sz w:val="32"/>
        </w:rPr>
        <w:t>15. Remaining Audit Questions</w:t>
      </w:r>
    </w:p>
    <w:p w14:paraId="765CF7C2">
      <w:pPr>
        <w:pStyle w:val="4"/>
        <w:spacing w:before="240" w:after="120"/>
      </w:pPr>
      <w:r>
        <w:rPr>
          <w:rFonts w:ascii="Noto Serif CJK SC" w:hAnsi="Noto Serif CJK SC" w:eastAsia="Noto Serif CJK SC"/>
          <w:b/>
          <w:color w:val="1F4E79"/>
          <w:sz w:val="26"/>
        </w:rPr>
        <w:t>Non-uniqueness of adjacency parameters</w:t>
      </w:r>
    </w:p>
    <w:p w14:paraId="12EB2400">
      <w:pPr>
        <w:spacing w:before="0" w:after="120" w:line="283" w:lineRule="auto"/>
      </w:pPr>
      <w:r>
        <w:rPr>
          <w:rFonts w:ascii="Noto Serif CJK SC" w:hAnsi="Noto Serif CJK SC" w:eastAsia="Noto Serif CJK SC"/>
          <w:sz w:val="21"/>
        </w:rPr>
        <w:t>The choices of r, θ_pre, θ_post, θ_upd, θ_int, w_k, and Θ_A affect the adjacency graph. Parameter scans and stable-region criteria must be added.</w:t>
      </w:r>
    </w:p>
    <w:p w14:paraId="7D0ECDDE">
      <w:pPr>
        <w:pStyle w:val="4"/>
        <w:spacing w:before="240" w:after="120"/>
      </w:pPr>
      <w:r>
        <w:rPr>
          <w:rFonts w:ascii="Noto Serif CJK SC" w:hAnsi="Noto Serif CJK SC" w:eastAsia="Noto Serif CJK SC"/>
          <w:b/>
          <w:color w:val="1F4E79"/>
          <w:sz w:val="26"/>
        </w:rPr>
        <w:t>Choice of reference volume function</w:t>
      </w:r>
    </w:p>
    <w:p w14:paraId="2199CC27">
      <w:pPr>
        <w:spacing w:before="0" w:after="120" w:line="283" w:lineRule="auto"/>
      </w:pPr>
      <w:r>
        <w:rPr>
          <w:rFonts w:ascii="Noto Serif CJK SC" w:hAnsi="Noto Serif CJK SC" w:eastAsia="Noto Serif CJK SC"/>
          <w:sz w:val="21"/>
        </w:rPr>
        <w:t>Several candidates for V_ref(r) remain possible. A standardized generation rule is needed to avoid artificial tuning.</w:t>
      </w:r>
    </w:p>
    <w:p w14:paraId="20662A38">
      <w:pPr>
        <w:pStyle w:val="4"/>
        <w:spacing w:before="240" w:after="120"/>
      </w:pPr>
      <w:r>
        <w:rPr>
          <w:rFonts w:ascii="Noto Serif CJK SC" w:hAnsi="Noto Serif CJK SC" w:eastAsia="Noto Serif CJK SC"/>
          <w:b/>
          <w:color w:val="1F4E79"/>
          <w:sz w:val="26"/>
        </w:rPr>
        <w:t>Format of local update traces</w:t>
      </w:r>
    </w:p>
    <w:p w14:paraId="07012FA0">
      <w:pPr>
        <w:spacing w:before="0" w:after="120" w:line="283" w:lineRule="auto"/>
      </w:pPr>
      <w:r>
        <w:rPr>
          <w:rFonts w:ascii="Noto Serif CJK SC" w:hAnsi="Noto Serif CJK SC" w:eastAsia="Noto Serif CJK SC"/>
          <w:sz w:val="21"/>
        </w:rPr>
        <w:t>U(e) may appear as a set, vector, label, or rewrite subgraph in different models. A unified data structure is required.</w:t>
      </w:r>
    </w:p>
    <w:p w14:paraId="2CE85B05">
      <w:pPr>
        <w:pStyle w:val="4"/>
        <w:spacing w:before="240" w:after="120"/>
      </w:pPr>
      <w:r>
        <w:rPr>
          <w:rFonts w:ascii="Noto Serif CJK SC" w:hAnsi="Noto Serif CJK SC" w:eastAsia="Noto Serif CJK SC"/>
          <w:b/>
          <w:color w:val="1F4E79"/>
          <w:sz w:val="26"/>
        </w:rPr>
        <w:t>Correspondence between slices</w:t>
      </w:r>
    </w:p>
    <w:p w14:paraId="34EB4E30">
      <w:pPr>
        <w:spacing w:before="0" w:after="120" w:line="283" w:lineRule="auto"/>
      </w:pPr>
      <w:r>
        <w:rPr>
          <w:rFonts w:ascii="Noto Serif CJK SC" w:hAnsi="Noto Serif CJK SC" w:eastAsia="Noto Serif CJK SC"/>
          <w:sz w:val="21"/>
        </w:rPr>
        <w:t>Comparing Σ_l and Σ_{l+1} requires event tracking or statistical correspondence across layers.</w:t>
      </w:r>
    </w:p>
    <w:p w14:paraId="36786BC5">
      <w:pPr>
        <w:pStyle w:val="4"/>
        <w:spacing w:before="240" w:after="120"/>
      </w:pPr>
      <w:r>
        <w:rPr>
          <w:rFonts w:ascii="Noto Serif CJK SC" w:hAnsi="Noto Serif CJK SC" w:eastAsia="Noto Serif CJK SC"/>
          <w:b/>
          <w:color w:val="1F4E79"/>
          <w:sz w:val="26"/>
        </w:rPr>
        <w:t>No proven correspondence to classical curvature yet</w:t>
      </w:r>
    </w:p>
    <w:p w14:paraId="7FF3E27E">
      <w:pPr>
        <w:spacing w:before="0" w:after="120" w:line="283" w:lineRule="auto"/>
      </w:pPr>
      <w:r>
        <w:rPr>
          <w:rFonts w:ascii="Noto Serif CJK SC" w:hAnsi="Noto Serif CJK SC" w:eastAsia="Noto Serif CJK SC"/>
          <w:sz w:val="21"/>
        </w:rPr>
        <w:t>Ric_I* is currently only a volume-growth deviation proxy. Its relation to classical Ricci curvature must be handled in Volume IV or later.</w:t>
      </w:r>
    </w:p>
    <w:tbl>
      <w:tblPr>
        <w:tblStyle w:val="32"/>
        <w:tblW w:w="0" w:type="auto"/>
        <w:jc w:val="center"/>
        <w:tblLayout w:type="autofit"/>
        <w:tblCellMar>
          <w:top w:w="0" w:type="dxa"/>
          <w:left w:w="108" w:type="dxa"/>
          <w:bottom w:w="0" w:type="dxa"/>
          <w:right w:w="108" w:type="dxa"/>
        </w:tblCellMar>
      </w:tblPr>
      <w:tblGrid>
        <w:gridCol w:w="9576"/>
      </w:tblGrid>
      <w:tr w14:paraId="79449213">
        <w:tblPrEx>
          <w:tblCellMar>
            <w:top w:w="0" w:type="dxa"/>
            <w:left w:w="108" w:type="dxa"/>
            <w:bottom w:w="0" w:type="dxa"/>
            <w:right w:w="108" w:type="dxa"/>
          </w:tblCellMar>
        </w:tblPrEx>
        <w:trPr>
          <w:jc w:val="center"/>
        </w:trPr>
        <w:tc>
          <w:tcPr>
            <w:tcW w:w="9576" w:type="dxa"/>
            <w:shd w:val="clear" w:color="auto" w:fill="EAF3F8"/>
            <w:tcMar>
              <w:top w:w="180" w:type="dxa"/>
              <w:left w:w="220" w:type="dxa"/>
              <w:bottom w:w="180" w:type="dxa"/>
              <w:right w:w="220" w:type="dxa"/>
            </w:tcMar>
          </w:tcPr>
          <w:p w14:paraId="70E4C856">
            <w:pPr>
              <w:spacing w:after="60"/>
            </w:pPr>
            <w:r>
              <w:rPr>
                <w:rFonts w:ascii="Noto Serif CJK SC" w:hAnsi="Noto Serif CJK SC" w:eastAsia="Noto Serif CJK SC"/>
                <w:b/>
                <w:color w:val="143250"/>
                <w:sz w:val="21"/>
              </w:rPr>
              <w:t>Final verdict</w:t>
            </w:r>
          </w:p>
          <w:p w14:paraId="66BBDB3F">
            <w:pPr>
              <w:spacing w:after="0" w:line="269" w:lineRule="auto"/>
            </w:pPr>
            <w:r>
              <w:rPr>
                <w:rFonts w:ascii="Noto Serif CJK SC" w:hAnsi="Noto Serif CJK SC" w:eastAsia="Noto Serif CJK SC"/>
                <w:color w:val="282828"/>
                <w:sz w:val="20"/>
              </w:rPr>
              <w:t>Volume III R1.0 completes the basic construction from causal slices to a discrete geometric interface. It does not yet complete the derivation from discrete geometry to continuous spacetime. That is the task of Volume IV.</w:t>
            </w:r>
          </w:p>
        </w:tc>
      </w:tr>
    </w:tbl>
    <w:p w14:paraId="4E45A686">
      <w:pPr>
        <w:spacing w:after="40"/>
      </w:pPr>
    </w:p>
    <w:sectPr>
      <w:headerReference r:id="rId5" w:type="default"/>
      <w:footerReference r:id="rId6" w:type="default"/>
      <w:pgSz w:w="12240" w:h="15840"/>
      <w:pgMar w:top="1247" w:right="1332" w:bottom="1134" w:left="1332"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88C8A">
    <w:pPr>
      <w:pStyle w:val="24"/>
      <w:jc w:val="center"/>
    </w:pPr>
    <w:r>
      <w:rPr>
        <w:rFonts w:ascii="Noto Serif CJK SC" w:hAnsi="Noto Serif CJK SC" w:eastAsia="Noto Serif CJK SC"/>
        <w:color w:val="5A5A5A"/>
        <w:sz w:val="18"/>
      </w:rPr>
      <w:t>Draft for internal audit · 2026-04-16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C583D">
    <w:pPr>
      <w:pStyle w:val="25"/>
      <w:jc w:val="right"/>
    </w:pPr>
    <w:r>
      <w:rPr>
        <w:rFonts w:ascii="Noto Serif CJK SC" w:hAnsi="Noto Serif CJK SC" w:eastAsia="Noto Serif CJK SC"/>
        <w:color w:val="5A5A5A"/>
        <w:sz w:val="18"/>
      </w:rPr>
      <w:t>BICFT Volume III R1.0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DC42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234</Words>
  <Characters>1516</Characters>
  <Lines>0</Lines>
  <Paragraphs>0</Paragraphs>
  <TotalTime>1</TotalTime>
  <ScaleCrop>false</ScaleCrop>
  <LinksUpToDate>false</LinksUpToDate>
  <CharactersWithSpaces>1734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wuqiming</cp:lastModifiedBy>
  <dcterms:modified xsi:type="dcterms:W3CDTF">2026-04-16T06:52:29Z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5A46847BE6254018A4D1C9B0B3BC0D30_13</vt:lpwstr>
  </property>
</Properties>
</file>