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A3ED5">
      <w:pPr>
        <w:jc w:val="center"/>
      </w:pPr>
      <w:bookmarkStart w:id="0" w:name="_GoBack"/>
      <w:bookmarkEnd w:id="0"/>
      <w:r>
        <w:rPr>
          <w:b/>
          <w:color w:val="1F4E79"/>
          <w:sz w:val="36"/>
        </w:rPr>
        <w:t>BICFT 第二编 R2.2</w:t>
      </w:r>
    </w:p>
    <w:p w14:paraId="60A42BB7">
      <w:pPr>
        <w:jc w:val="center"/>
      </w:pPr>
      <w:r>
        <w:rPr>
          <w:color w:val="4A6478"/>
          <w:sz w:val="22"/>
        </w:rPr>
        <w:t>自足化重构与可计算验证版 - 对 R2/R2.1 的对齐修改稿</w:t>
      </w:r>
    </w:p>
    <w:tbl>
      <w:tblPr>
        <w:tblStyle w:val="32"/>
        <w:tblW w:w="0" w:type="auto"/>
        <w:jc w:val="center"/>
        <w:tblBorders>
          <w:top w:val="single" w:color="B7C6D1" w:sz="6" w:space="0"/>
          <w:left w:val="single" w:color="B7C6D1" w:sz="6" w:space="0"/>
          <w:bottom w:val="single" w:color="B7C6D1" w:sz="6" w:space="0"/>
          <w:right w:val="single" w:color="B7C6D1" w:sz="6" w:space="0"/>
          <w:insideH w:val="single" w:color="B7C6D1" w:sz="6" w:space="0"/>
          <w:insideV w:val="single" w:color="B7C6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3485"/>
        <w:gridCol w:w="3485"/>
      </w:tblGrid>
      <w:tr w14:paraId="4D97EA2F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shd w:val="clear" w:color="auto" w:fill="EAF3F8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539617">
            <w:pPr>
              <w:spacing w:after="0"/>
            </w:pPr>
            <w:r>
              <w:rPr>
                <w:b/>
                <w:sz w:val="17"/>
              </w:rPr>
              <w:t>用途：增强施工版</w:t>
            </w:r>
          </w:p>
        </w:tc>
        <w:tc>
          <w:tcPr>
            <w:tcW w:w="3485" w:type="dxa"/>
            <w:shd w:val="clear" w:color="auto" w:fill="EAF3F8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4FE930">
            <w:pPr>
              <w:spacing w:after="0"/>
            </w:pPr>
            <w:r>
              <w:rPr>
                <w:b/>
                <w:sz w:val="17"/>
              </w:rPr>
              <w:t>版本：R2.2</w:t>
            </w:r>
          </w:p>
        </w:tc>
        <w:tc>
          <w:tcPr>
            <w:tcW w:w="3485" w:type="dxa"/>
            <w:shd w:val="clear" w:color="auto" w:fill="EAF3F8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FC4C6D2">
            <w:pPr>
              <w:spacing w:after="0"/>
            </w:pPr>
            <w:r>
              <w:rPr>
                <w:b/>
                <w:sz w:val="17"/>
              </w:rPr>
              <w:t>日期：2026-04-16</w:t>
            </w:r>
          </w:p>
        </w:tc>
      </w:tr>
    </w:tbl>
    <w:p w14:paraId="322D514C"/>
    <w:tbl>
      <w:tblPr>
        <w:tblStyle w:val="32"/>
        <w:tblW w:w="0" w:type="auto"/>
        <w:jc w:val="center"/>
        <w:tblBorders>
          <w:top w:val="single" w:color="A7C5D8" w:sz="6" w:space="0"/>
          <w:left w:val="single" w:color="A7C5D8" w:sz="6" w:space="0"/>
          <w:bottom w:val="single" w:color="A7C5D8" w:sz="6" w:space="0"/>
          <w:right w:val="single" w:color="A7C5D8" w:sz="6" w:space="0"/>
          <w:insideH w:val="single" w:color="A7C5D8" w:sz="6" w:space="0"/>
          <w:insideV w:val="single" w:color="A7C5D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4"/>
      </w:tblGrid>
      <w:tr w14:paraId="77CDA13C">
        <w:tblPrEx>
          <w:tblBorders>
            <w:top w:val="single" w:color="A7C5D8" w:sz="6" w:space="0"/>
            <w:left w:val="single" w:color="A7C5D8" w:sz="6" w:space="0"/>
            <w:bottom w:val="single" w:color="A7C5D8" w:sz="6" w:space="0"/>
            <w:right w:val="single" w:color="A7C5D8" w:sz="6" w:space="0"/>
            <w:insideH w:val="single" w:color="A7C5D8" w:sz="6" w:space="0"/>
            <w:insideV w:val="single" w:color="A7C5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4" w:type="dxa"/>
            <w:shd w:val="clear" w:color="auto" w:fill="F7FB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6F838">
            <w:pPr>
              <w:spacing w:after="0"/>
            </w:pPr>
            <w:r>
              <w:rPr>
                <w:b w:val="0"/>
                <w:sz w:val="17"/>
              </w:rPr>
              <w:t>版本定位：R1.1B 是第二编正式接口对齐线；R2.2 是在 R1.1B 基础上的增强重构与可计算验证线。R2.2 不替代 R1.1B，不作为第三编的唯一前置条件。</w:t>
            </w:r>
          </w:p>
        </w:tc>
      </w:tr>
    </w:tbl>
    <w:p w14:paraId="46DFA2B1">
      <w:pPr>
        <w:pStyle w:val="3"/>
      </w:pPr>
      <w:r>
        <w:t>摘要</w:t>
      </w:r>
    </w:p>
    <w:p w14:paraId="6A57B6FD">
      <w:r>
        <w:t>本稿对第二编 R2/R2.1 进行重定位与口径修正。修改后的 R2.2 不再被表述为替代 R1.1B 的正式主线，而是作为 R1.1B 之上的增强重构与可计算验证版本。它保留第二编共同主线，同时展开事件实例化、读写集、冲突判定、内部编码、联合改写、控制链窗口、使能依赖和最小程序验证。</w:t>
      </w:r>
    </w:p>
    <w:p w14:paraId="6AFAE4E8">
      <w:r>
        <w:t>关键词：BICFT；第二编；接口对齐；R1.1B；R2.2；事件层；控制链；因果偏序；可计算验证</w:t>
      </w:r>
    </w:p>
    <w:p w14:paraId="7D86C665">
      <w:pPr>
        <w:pStyle w:val="3"/>
      </w:pPr>
      <w:r>
        <w:t>0. 修订原则表</w:t>
      </w:r>
    </w:p>
    <w:tbl>
      <w:tblPr>
        <w:tblStyle w:val="32"/>
        <w:tblW w:w="0" w:type="auto"/>
        <w:jc w:val="center"/>
        <w:tblBorders>
          <w:top w:val="single" w:color="B7C6D1" w:sz="6" w:space="0"/>
          <w:left w:val="single" w:color="B7C6D1" w:sz="6" w:space="0"/>
          <w:bottom w:val="single" w:color="B7C6D1" w:sz="6" w:space="0"/>
          <w:right w:val="single" w:color="B7C6D1" w:sz="6" w:space="0"/>
          <w:insideH w:val="single" w:color="B7C6D1" w:sz="6" w:space="0"/>
          <w:insideV w:val="single" w:color="B7C6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3485"/>
        <w:gridCol w:w="3485"/>
      </w:tblGrid>
      <w:tr w14:paraId="14A0C067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E0B255">
            <w:pPr>
              <w:spacing w:after="0"/>
            </w:pPr>
            <w:r>
              <w:rPr>
                <w:b/>
                <w:sz w:val="17"/>
              </w:rPr>
              <w:t>修订项</w:t>
            </w:r>
          </w:p>
        </w:tc>
        <w:tc>
          <w:tcPr>
            <w:tcW w:w="3485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D2DD70">
            <w:pPr>
              <w:spacing w:after="0"/>
            </w:pPr>
            <w:r>
              <w:rPr>
                <w:b/>
                <w:sz w:val="17"/>
              </w:rPr>
              <w:t>R1.1B 正式线</w:t>
            </w:r>
          </w:p>
        </w:tc>
        <w:tc>
          <w:tcPr>
            <w:tcW w:w="3485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D517A5">
            <w:pPr>
              <w:spacing w:after="0"/>
            </w:pPr>
            <w:r>
              <w:rPr>
                <w:b/>
                <w:sz w:val="17"/>
              </w:rPr>
              <w:t>R2.2 增强线</w:t>
            </w:r>
          </w:p>
        </w:tc>
      </w:tr>
      <w:tr w14:paraId="67064EB5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8271E0">
            <w:pPr>
              <w:spacing w:after="0"/>
              <w:jc w:val="center"/>
            </w:pPr>
            <w:r>
              <w:rPr>
                <w:b w:val="0"/>
                <w:sz w:val="17"/>
              </w:rPr>
              <w:t>版本地位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80A37F">
            <w:pPr>
              <w:spacing w:after="0"/>
              <w:jc w:val="center"/>
            </w:pPr>
            <w:r>
              <w:rPr>
                <w:b w:val="0"/>
                <w:sz w:val="17"/>
              </w:rPr>
              <w:t>正式接口对齐版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26B99F">
            <w:pPr>
              <w:spacing w:after="0"/>
              <w:jc w:val="center"/>
            </w:pPr>
            <w:r>
              <w:rPr>
                <w:b w:val="0"/>
                <w:sz w:val="17"/>
              </w:rPr>
              <w:t>增强重构与可计算验证版</w:t>
            </w:r>
          </w:p>
        </w:tc>
      </w:tr>
      <w:tr w14:paraId="408E9399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39FEDB">
            <w:pPr>
              <w:spacing w:after="0"/>
              <w:jc w:val="center"/>
            </w:pPr>
            <w:r>
              <w:rPr>
                <w:b w:val="0"/>
                <w:sz w:val="17"/>
              </w:rPr>
              <w:t>是否替代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A8CC8B">
            <w:pPr>
              <w:spacing w:after="0"/>
              <w:jc w:val="center"/>
            </w:pPr>
            <w:r>
              <w:rPr>
                <w:b w:val="0"/>
                <w:sz w:val="17"/>
              </w:rPr>
              <w:t>不被 R2.2 替代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4CED6A">
            <w:pPr>
              <w:spacing w:after="0"/>
              <w:jc w:val="center"/>
            </w:pPr>
            <w:r>
              <w:rPr>
                <w:b w:val="0"/>
                <w:sz w:val="17"/>
              </w:rPr>
              <w:t>不替代 R1.1B</w:t>
            </w:r>
          </w:p>
        </w:tc>
      </w:tr>
      <w:tr w14:paraId="3A1D9374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D048AC">
            <w:pPr>
              <w:spacing w:after="0"/>
              <w:jc w:val="center"/>
            </w:pPr>
            <w:r>
              <w:rPr>
                <w:b w:val="0"/>
                <w:sz w:val="17"/>
              </w:rPr>
              <w:t>第三编调用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D4ECE9">
            <w:pPr>
              <w:spacing w:after="0"/>
              <w:jc w:val="center"/>
            </w:pPr>
            <w:r>
              <w:rPr>
                <w:b w:val="0"/>
                <w:sz w:val="17"/>
              </w:rPr>
              <w:t>默认调用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5152D8">
            <w:pPr>
              <w:spacing w:after="0"/>
              <w:jc w:val="center"/>
            </w:pPr>
            <w:r>
              <w:rPr>
                <w:b w:val="0"/>
                <w:sz w:val="17"/>
              </w:rPr>
              <w:t>仅作实现或验证参考</w:t>
            </w:r>
          </w:p>
        </w:tc>
      </w:tr>
      <w:tr w14:paraId="4EDE2FC0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B505D7">
            <w:pPr>
              <w:spacing w:after="0"/>
              <w:jc w:val="center"/>
            </w:pPr>
            <w:r>
              <w:rPr>
                <w:b w:val="0"/>
                <w:sz w:val="17"/>
              </w:rPr>
              <w:t>程序角色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6BD846">
            <w:pPr>
              <w:spacing w:after="0"/>
              <w:jc w:val="center"/>
            </w:pPr>
            <w:r>
              <w:rPr>
                <w:b w:val="0"/>
                <w:sz w:val="17"/>
              </w:rPr>
              <w:t>接口对齐原型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7124DE">
            <w:pPr>
              <w:spacing w:after="0"/>
              <w:jc w:val="center"/>
            </w:pPr>
            <w:r>
              <w:rPr>
                <w:b w:val="0"/>
                <w:sz w:val="17"/>
              </w:rPr>
              <w:t>增强验证程序</w:t>
            </w:r>
          </w:p>
        </w:tc>
      </w:tr>
      <w:tr w14:paraId="62A17529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921D25">
            <w:pPr>
              <w:spacing w:after="0"/>
              <w:jc w:val="center"/>
            </w:pPr>
            <w:r>
              <w:rPr>
                <w:b w:val="0"/>
                <w:sz w:val="17"/>
              </w:rPr>
              <w:t>核心增补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1BC794">
            <w:pPr>
              <w:spacing w:after="0"/>
            </w:pPr>
            <w:r>
              <w:rPr>
                <w:b w:val="0"/>
                <w:sz w:val="17"/>
              </w:rPr>
              <w:t>ApplySet、窗口、反自反性、排斥说明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9C747A">
            <w:pPr>
              <w:spacing w:after="0"/>
            </w:pPr>
            <w:r>
              <w:rPr>
                <w:b w:val="0"/>
                <w:sz w:val="17"/>
              </w:rPr>
              <w:t>事件实例化、读写集、冲突、代码复现</w:t>
            </w:r>
          </w:p>
        </w:tc>
      </w:tr>
    </w:tbl>
    <w:p w14:paraId="149AA0BA"/>
    <w:p w14:paraId="58CBA8ED">
      <w:pPr>
        <w:pStyle w:val="3"/>
      </w:pPr>
      <w:r>
        <w:t>1. 版本定位：R2.2 不替代 R1.1B</w:t>
      </w:r>
    </w:p>
    <w:p w14:paraId="270E1580">
      <w:r>
        <w:t>R1.1B 是第二编的正式接口对齐线，负责承接第一编 R1.4 的显式入口对象，并保持原有主线不变。R2.2 是在 R1.1B 基础上建立的增强重构与可计算验证版，主要服务于机械化实现、程序验证和后续可复核实验。因此，R2.2 不是对 R1.1B 的否定，也不作为第三编的唯一前置条件。第三编的正式理论接口优先调用 R1.1B；R2.2 提供更细的事件实例化、读写集、冲突判定、反事实链和代码原型。</w:t>
      </w:r>
    </w:p>
    <w:p w14:paraId="5045D8B2">
      <w:pPr>
        <w:pStyle w:val="3"/>
      </w:pPr>
      <w:r>
        <w:t>2. 主线继承关系</w:t>
      </w:r>
    </w:p>
    <w:p w14:paraId="6B4899A1">
      <w:r>
        <w:t>R2.2 仍继承第二编的共同主线：冲突图 → 规范极大无冲突集 → 规范事件层 → 控制链依赖 → 传递闭包。与 R1.1B 不同的是，R2.2 将这些接口展开成可计算对象，而不是仅作为跨编接口调用。所有新增定义均应被理解为 R1.1B 的实现展开，不得改变 R1.1B 的接口语义。</w:t>
      </w:r>
    </w:p>
    <w:p w14:paraId="1421195D">
      <w:pPr>
        <w:pStyle w:val="3"/>
      </w:pPr>
      <w:r>
        <w:t>3. R2.2 的增强对象包</w:t>
      </w:r>
    </w:p>
    <w:tbl>
      <w:tblPr>
        <w:tblStyle w:val="32"/>
        <w:tblW w:w="0" w:type="auto"/>
        <w:jc w:val="center"/>
        <w:tblBorders>
          <w:top w:val="single" w:color="B7C6D1" w:sz="6" w:space="0"/>
          <w:left w:val="single" w:color="B7C6D1" w:sz="6" w:space="0"/>
          <w:bottom w:val="single" w:color="B7C6D1" w:sz="6" w:space="0"/>
          <w:right w:val="single" w:color="B7C6D1" w:sz="6" w:space="0"/>
          <w:insideH w:val="single" w:color="B7C6D1" w:sz="6" w:space="0"/>
          <w:insideV w:val="single" w:color="B7C6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3485"/>
        <w:gridCol w:w="3485"/>
      </w:tblGrid>
      <w:tr w14:paraId="0BEED459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827BD5">
            <w:pPr>
              <w:spacing w:after="0"/>
            </w:pPr>
            <w:r>
              <w:rPr>
                <w:b/>
                <w:sz w:val="17"/>
              </w:rPr>
              <w:t>对象</w:t>
            </w:r>
          </w:p>
        </w:tc>
        <w:tc>
          <w:tcPr>
            <w:tcW w:w="3485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392F18">
            <w:pPr>
              <w:spacing w:after="0"/>
            </w:pPr>
            <w:r>
              <w:rPr>
                <w:b/>
                <w:sz w:val="17"/>
              </w:rPr>
              <w:t>R2.2 中的展开口径</w:t>
            </w:r>
          </w:p>
        </w:tc>
        <w:tc>
          <w:tcPr>
            <w:tcW w:w="3485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3FF057">
            <w:pPr>
              <w:spacing w:after="0"/>
            </w:pPr>
            <w:r>
              <w:rPr>
                <w:b/>
                <w:sz w:val="17"/>
              </w:rPr>
              <w:t>与 R1.1B 的关系</w:t>
            </w:r>
          </w:p>
        </w:tc>
      </w:tr>
      <w:tr w14:paraId="4C9FA128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B22B9F">
            <w:pPr>
              <w:spacing w:after="0"/>
              <w:jc w:val="center"/>
            </w:pPr>
            <w:r>
              <w:rPr>
                <w:b w:val="0"/>
                <w:sz w:val="17"/>
              </w:rPr>
              <w:t>事件实例 e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D53F73">
            <w:pPr>
              <w:spacing w:after="0"/>
            </w:pPr>
            <w:r>
              <w:rPr>
                <w:b w:val="0"/>
                <w:sz w:val="17"/>
              </w:rPr>
              <w:t>e=(U, α, χ)，由规则、锚点、局域上下文构成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F36921">
            <w:pPr>
              <w:spacing w:after="0"/>
            </w:pPr>
            <w:r>
              <w:rPr>
                <w:b w:val="0"/>
                <w:sz w:val="17"/>
              </w:rPr>
              <w:t>实现展开，不改变事件接口语义</w:t>
            </w:r>
          </w:p>
        </w:tc>
      </w:tr>
      <w:tr w14:paraId="538257E7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42BE1E">
            <w:pPr>
              <w:spacing w:after="0"/>
              <w:jc w:val="center"/>
            </w:pPr>
            <w:r>
              <w:rPr>
                <w:b w:val="0"/>
                <w:sz w:val="17"/>
              </w:rPr>
              <w:t>Ready(C)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37F023">
            <w:pPr>
              <w:spacing w:after="0"/>
            </w:pPr>
            <w:r>
              <w:rPr>
                <w:b w:val="0"/>
                <w:sz w:val="17"/>
              </w:rPr>
              <w:t>由规则前提在配置 C 中机械判定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0E7496">
            <w:pPr>
              <w:spacing w:after="0"/>
            </w:pPr>
            <w:r>
              <w:rPr>
                <w:b w:val="0"/>
                <w:sz w:val="17"/>
              </w:rPr>
              <w:t>对应 R1.1B 的 Ready(C) 接口</w:t>
            </w:r>
          </w:p>
        </w:tc>
      </w:tr>
      <w:tr w14:paraId="3E146C25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62E318">
            <w:pPr>
              <w:spacing w:after="0"/>
            </w:pPr>
            <w:r>
              <w:rPr>
                <w:b w:val="0"/>
                <w:sz w:val="17"/>
              </w:rPr>
              <w:t>冲突关系 bowtie_C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C39183">
            <w:pPr>
              <w:spacing w:after="0"/>
            </w:pPr>
            <w:r>
              <w:rPr>
                <w:b w:val="0"/>
                <w:sz w:val="17"/>
              </w:rPr>
              <w:t>以读写集交叉作为机械判据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7CF2DF">
            <w:pPr>
              <w:spacing w:after="0"/>
            </w:pPr>
            <w:r>
              <w:rPr>
                <w:b w:val="0"/>
                <w:sz w:val="17"/>
              </w:rPr>
              <w:t>实现 R1.1B 的结构干涉口径</w:t>
            </w:r>
          </w:p>
        </w:tc>
      </w:tr>
      <w:tr w14:paraId="00976FFB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E89601">
            <w:pPr>
              <w:spacing w:after="0"/>
              <w:jc w:val="center"/>
            </w:pPr>
            <w:r>
              <w:rPr>
                <w:b w:val="0"/>
                <w:sz w:val="17"/>
              </w:rPr>
              <w:t>κ_C(e)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44FA3B3">
            <w:pPr>
              <w:spacing w:after="0"/>
            </w:pPr>
            <w:r>
              <w:rPr>
                <w:b w:val="0"/>
                <w:sz w:val="17"/>
              </w:rPr>
              <w:t>由规则编号、锚点 ID、读写集 ID 构成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0ABA54">
            <w:pPr>
              <w:spacing w:after="0"/>
              <w:jc w:val="center"/>
            </w:pPr>
            <w:r>
              <w:rPr>
                <w:b w:val="0"/>
                <w:sz w:val="17"/>
              </w:rPr>
              <w:t>作为规范扫描的内部排序</w:t>
            </w:r>
          </w:p>
        </w:tc>
      </w:tr>
      <w:tr w14:paraId="65ED3AAA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28843F">
            <w:pPr>
              <w:spacing w:after="0"/>
              <w:jc w:val="center"/>
            </w:pPr>
            <w:r>
              <w:rPr>
                <w:b w:val="0"/>
                <w:sz w:val="17"/>
              </w:rPr>
              <w:t>ApplySet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6FEA71">
            <w:pPr>
              <w:spacing w:after="0"/>
            </w:pPr>
            <w:r>
              <w:rPr>
                <w:b w:val="0"/>
                <w:sz w:val="17"/>
              </w:rPr>
              <w:t>对无冲突集联合改写，空集返回原配置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A04422">
            <w:pPr>
              <w:spacing w:after="0"/>
            </w:pPr>
            <w:r>
              <w:rPr>
                <w:b w:val="0"/>
                <w:sz w:val="17"/>
              </w:rPr>
              <w:t>完全对齐 R1.1B 小修口径</w:t>
            </w:r>
          </w:p>
        </w:tc>
      </w:tr>
      <w:tr w14:paraId="58DE5EE1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9002A0">
            <w:pPr>
              <w:spacing w:after="0"/>
              <w:jc w:val="center"/>
            </w:pPr>
            <w:r>
              <w:rPr>
                <w:b w:val="0"/>
                <w:sz w:val="17"/>
              </w:rPr>
              <w:t>控制链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AD9EF90">
            <w:pPr>
              <w:spacing w:after="0"/>
            </w:pPr>
            <w:r>
              <w:rPr>
                <w:b w:val="0"/>
                <w:sz w:val="17"/>
              </w:rPr>
              <w:t>移除 e 后在窗口内重跑规范层机制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307204">
            <w:pPr>
              <w:spacing w:after="0"/>
            </w:pPr>
            <w:r>
              <w:rPr>
                <w:b w:val="0"/>
                <w:sz w:val="17"/>
              </w:rPr>
              <w:t>实现 R1.1B 的控制链依赖</w:t>
            </w:r>
          </w:p>
        </w:tc>
      </w:tr>
    </w:tbl>
    <w:p w14:paraId="32C5874C"/>
    <w:p w14:paraId="266A70C4">
      <w:pPr>
        <w:pStyle w:val="3"/>
      </w:pPr>
      <w:r>
        <w:t>4. ApplySet 与控制链窗口对齐</w:t>
      </w:r>
    </w:p>
    <w:p w14:paraId="54EEEBCF">
      <w:pPr>
        <w:ind w:left="259" w:hanging="173"/>
      </w:pPr>
      <w:r>
        <w:rPr>
          <w:b/>
        </w:rPr>
        <w:t xml:space="preserve">• </w:t>
      </w:r>
      <w:r>
        <w:t>ApplySet(C, ∅)=C。</w:t>
      </w:r>
    </w:p>
    <w:p w14:paraId="62CAB8A0">
      <w:pPr>
        <w:ind w:left="259" w:hanging="173"/>
      </w:pPr>
      <w:r>
        <w:rPr>
          <w:b/>
        </w:rPr>
        <w:t xml:space="preserve">• </w:t>
      </w:r>
      <w:r>
        <w:t>若 A 是规范层中的无冲突事件集，则 ApplySet(C,A) 的结果不依赖层内执行顺序。</w:t>
      </w:r>
    </w:p>
    <w:p w14:paraId="2FC21973">
      <w:pPr>
        <w:ind w:left="259" w:hanging="173"/>
      </w:pPr>
      <w:r>
        <w:rPr>
          <w:b/>
        </w:rPr>
        <w:t xml:space="preserve">• </w:t>
      </w:r>
      <w:r>
        <w:t>若发现执行顺序影响结果，则触发 Reject_2(ApplySetAmbiguity)。</w:t>
      </w:r>
    </w:p>
    <w:p w14:paraId="317AAFDC">
      <w:pPr>
        <w:ind w:left="259" w:hanging="173"/>
      </w:pPr>
      <w:r>
        <w:rPr>
          <w:b/>
        </w:rPr>
        <w:t xml:space="preserve">• </w:t>
      </w:r>
      <w:r>
        <w:t>对实际事件 f∈Λ(C_m) 与候选前件 e∈Λ(C_n)，其中 n&lt;m，对照链只在窗口 W(e,f)=[n+1,m] 内强制比较。</w:t>
      </w:r>
    </w:p>
    <w:p w14:paraId="2809EBBA">
      <w:pPr>
        <w:ind w:left="259" w:hanging="173"/>
      </w:pPr>
      <w:r>
        <w:rPr>
          <w:b/>
        </w:rPr>
        <w:t xml:space="preserve">• </w:t>
      </w:r>
      <w:r>
        <w:t>若对照链在该窗口之前进入固定点，则视为窗口剩余部分没有同核心签名事件出现；若 m 之后重现，则记录为延迟重现，不推翻窗口判定。</w:t>
      </w:r>
    </w:p>
    <w:p w14:paraId="1F60E5BD">
      <w:pPr>
        <w:pStyle w:val="3"/>
      </w:pPr>
      <w:r>
        <w:t>5. 事件、读写集与冲突判定</w:t>
      </w:r>
    </w:p>
    <w:p w14:paraId="3489E6E0">
      <w:r>
        <w:t>R2.2 中事件实例表示为 e=(U, α, χ)，其中 U 为规则，α 为锚点，χ 为局域上下文快照。每条规则必须给出读集模板、写集模板、前提判定函数和输出改写函数。</w:t>
      </w:r>
    </w:p>
    <w:p w14:paraId="13447261">
      <w:pPr>
        <w:ind w:left="259" w:hanging="173"/>
      </w:pPr>
      <w:r>
        <w:rPr>
          <w:b/>
        </w:rPr>
        <w:t xml:space="preserve">• </w:t>
      </w:r>
      <w:r>
        <w:t>若 Write(e)∩Write(f)≠∅，则 e bowtie_C f。</w:t>
      </w:r>
    </w:p>
    <w:p w14:paraId="6D11CF8F">
      <w:pPr>
        <w:ind w:left="259" w:hanging="173"/>
      </w:pPr>
      <w:r>
        <w:rPr>
          <w:b/>
        </w:rPr>
        <w:t xml:space="preserve">• </w:t>
      </w:r>
      <w:r>
        <w:t>若 Write(e)∩Read(f)≠∅，则 e bowtie_C f。</w:t>
      </w:r>
    </w:p>
    <w:p w14:paraId="4A3E0E7E">
      <w:pPr>
        <w:ind w:left="259" w:hanging="173"/>
      </w:pPr>
      <w:r>
        <w:rPr>
          <w:b/>
        </w:rPr>
        <w:t xml:space="preserve">• </w:t>
      </w:r>
      <w:r>
        <w:t>若 Read(e)∩Write(f)≠∅，则 e bowtie_C f。</w:t>
      </w:r>
    </w:p>
    <w:p w14:paraId="01DAC38A">
      <w:pPr>
        <w:ind w:left="259" w:hanging="173"/>
      </w:pPr>
      <w:r>
        <w:rPr>
          <w:b/>
        </w:rPr>
        <w:t xml:space="preserve">• </w:t>
      </w:r>
      <w:r>
        <w:t>该定义足以支撑联合改写的顺序无关性。</w:t>
      </w:r>
    </w:p>
    <w:p w14:paraId="500D23A0">
      <w:pPr>
        <w:pStyle w:val="3"/>
      </w:pPr>
      <w:r>
        <w:t>6. 因果边与排斥记录</w:t>
      </w:r>
    </w:p>
    <w:p w14:paraId="4308EB13">
      <w:r>
        <w:t>R2.2 的基础因果边仍只来自两类来源：支撑继承依赖与使能依赖。支撑继承依赖由 Write(e)∩Read(f) 及实际就绪判定使用关系给出。使能依赖由移除 e 的控制链在窗口 W(e,f) 内是否出现 f 的核心签名来判定。</w:t>
      </w:r>
    </w:p>
    <w:p w14:paraId="7BA1D193">
      <w:r>
        <w:t>排斥记录 e -| g 不生成偏序边，只作为候选多样性审计和后续分支分析的信息记录。它不能替代支撑继承依赖或使能依赖。</w:t>
      </w:r>
    </w:p>
    <w:p w14:paraId="3DAE5D50">
      <w:pPr>
        <w:pStyle w:val="3"/>
      </w:pPr>
      <w:r>
        <w:t>7. 严格偏序的证明义务</w:t>
      </w:r>
    </w:p>
    <w:p w14:paraId="77CB9615">
      <w:r>
        <w:t>R2.2 与 R1.1B 统一采用层秩严格递增判据：e≺0 f ⇒ λ(e)&lt;λ(f)。任意有限依赖链 e0≺0e1≺0...≺0ek 都会导致 λ(e0)&lt;λ(e1)&lt;...&lt;λ(ek)。因此它不可能回到自身事件实例。由此，≺0 无环，其传递闭包 ≺ 反自反并传递，构成严格偏序。</w:t>
      </w:r>
    </w:p>
    <w:p w14:paraId="3C74DA02">
      <w:pPr>
        <w:pStyle w:val="3"/>
      </w:pPr>
      <w:r>
        <w:t>8. 可计算验证程序定位</w:t>
      </w:r>
    </w:p>
    <w:p w14:paraId="61C4D536">
      <w:r>
        <w:t>R2.2 附带的程序是增强验证程序，不是 R1.1B 的正式接口程序。它用于展示第二编核心机制可以被实例化为有限算法：事件实例化、Ready(C)、冲突图、规范事件层、ApplySet、控制链、支撑继承依赖、使能依赖和偏序闭包。程序输出只能作为最小原型结果，不自动等同于完整理论证明。</w:t>
      </w:r>
    </w:p>
    <w:p w14:paraId="1B05D908">
      <w:pPr>
        <w:pStyle w:val="3"/>
      </w:pPr>
      <w:r>
        <w:t>9. R2.2 的交付物与使用边界</w:t>
      </w:r>
    </w:p>
    <w:p w14:paraId="18D75FF7">
      <w:r>
        <w:t>R2.2 适用于代码验证、例子核算、后续强实现和审计复现；不用于替代 R1.1B 的正式跨编接口。若第三编引用第二编，默认引用 R1.1B；若需要调用具体可计算实现，则可附注参考 R2.2。</w:t>
      </w:r>
    </w:p>
    <w:p w14:paraId="1110F39C">
      <w:pPr>
        <w:pStyle w:val="3"/>
      </w:pPr>
      <w:r>
        <w:t>10. 验收清单</w:t>
      </w:r>
    </w:p>
    <w:tbl>
      <w:tblPr>
        <w:tblStyle w:val="32"/>
        <w:tblW w:w="0" w:type="auto"/>
        <w:jc w:val="center"/>
        <w:tblBorders>
          <w:top w:val="single" w:color="B7C6D1" w:sz="6" w:space="0"/>
          <w:left w:val="single" w:color="B7C6D1" w:sz="6" w:space="0"/>
          <w:bottom w:val="single" w:color="B7C6D1" w:sz="6" w:space="0"/>
          <w:right w:val="single" w:color="B7C6D1" w:sz="6" w:space="0"/>
          <w:insideH w:val="single" w:color="B7C6D1" w:sz="6" w:space="0"/>
          <w:insideV w:val="single" w:color="B7C6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3485"/>
        <w:gridCol w:w="3485"/>
      </w:tblGrid>
      <w:tr w14:paraId="7AD24516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EDD25B">
            <w:pPr>
              <w:spacing w:after="0"/>
            </w:pPr>
            <w:r>
              <w:rPr>
                <w:b/>
                <w:sz w:val="17"/>
              </w:rPr>
              <w:t>序号</w:t>
            </w:r>
          </w:p>
        </w:tc>
        <w:tc>
          <w:tcPr>
            <w:tcW w:w="3485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72D08F">
            <w:pPr>
              <w:spacing w:after="0"/>
            </w:pPr>
            <w:r>
              <w:rPr>
                <w:b/>
                <w:sz w:val="17"/>
              </w:rPr>
              <w:t>验收要求</w:t>
            </w:r>
          </w:p>
        </w:tc>
        <w:tc>
          <w:tcPr>
            <w:tcW w:w="3485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FD9D7E">
            <w:pPr>
              <w:spacing w:after="0"/>
            </w:pPr>
            <w:r>
              <w:rPr>
                <w:b/>
                <w:sz w:val="17"/>
              </w:rPr>
              <w:t>状态</w:t>
            </w:r>
          </w:p>
        </w:tc>
      </w:tr>
      <w:tr w14:paraId="18624A37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CCFAD36"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15B983">
            <w:pPr>
              <w:spacing w:after="0"/>
            </w:pPr>
            <w:r>
              <w:rPr>
                <w:b w:val="0"/>
                <w:sz w:val="17"/>
              </w:rPr>
              <w:t>已明确 R2.2 不替代 R1.1B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EF83DC">
            <w:pPr>
              <w:spacing w:after="0"/>
              <w:jc w:val="center"/>
            </w:pPr>
            <w:r>
              <w:rPr>
                <w:b w:val="0"/>
                <w:sz w:val="17"/>
              </w:rPr>
              <w:t>必需</w:t>
            </w:r>
          </w:p>
        </w:tc>
      </w:tr>
      <w:tr w14:paraId="075BD3BD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EF57F4"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157F62">
            <w:pPr>
              <w:spacing w:after="0"/>
              <w:jc w:val="center"/>
            </w:pPr>
            <w:r>
              <w:rPr>
                <w:b w:val="0"/>
                <w:sz w:val="17"/>
              </w:rPr>
              <w:t>已继承第二编共同主线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64CA72">
            <w:pPr>
              <w:spacing w:after="0"/>
              <w:jc w:val="center"/>
            </w:pPr>
            <w:r>
              <w:rPr>
                <w:b w:val="0"/>
                <w:sz w:val="17"/>
              </w:rPr>
              <w:t>必需</w:t>
            </w:r>
          </w:p>
        </w:tc>
      </w:tr>
      <w:tr w14:paraId="44CC61EF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56A3C7"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7000F3">
            <w:pPr>
              <w:spacing w:after="0"/>
            </w:pPr>
            <w:r>
              <w:rPr>
                <w:b w:val="0"/>
                <w:sz w:val="17"/>
              </w:rPr>
              <w:t>已将 ApplySet、控制链窗口与 R1.1B 对齐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417875">
            <w:pPr>
              <w:spacing w:after="0"/>
              <w:jc w:val="center"/>
            </w:pPr>
            <w:r>
              <w:rPr>
                <w:b w:val="0"/>
                <w:sz w:val="17"/>
              </w:rPr>
              <w:t>必需</w:t>
            </w:r>
          </w:p>
        </w:tc>
      </w:tr>
      <w:tr w14:paraId="4EB67B6A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AC2416"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FBE312">
            <w:pPr>
              <w:spacing w:after="0"/>
            </w:pPr>
            <w:r>
              <w:rPr>
                <w:b w:val="0"/>
                <w:sz w:val="17"/>
              </w:rPr>
              <w:t>已区分正式接口程序与增强验证程序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E97FD4">
            <w:pPr>
              <w:spacing w:after="0"/>
              <w:jc w:val="center"/>
            </w:pPr>
            <w:r>
              <w:rPr>
                <w:b w:val="0"/>
                <w:sz w:val="17"/>
              </w:rPr>
              <w:t>必需</w:t>
            </w:r>
          </w:p>
        </w:tc>
      </w:tr>
      <w:tr w14:paraId="6209C268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8509AA">
            <w:pPr>
              <w:spacing w:after="0"/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1A80C5">
            <w:pPr>
              <w:spacing w:after="0"/>
            </w:pPr>
            <w:r>
              <w:rPr>
                <w:b w:val="0"/>
                <w:sz w:val="17"/>
              </w:rPr>
              <w:t>已保留支撑继承与使能依赖两类基础因果来源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86BFAC">
            <w:pPr>
              <w:spacing w:after="0"/>
              <w:jc w:val="center"/>
            </w:pPr>
            <w:r>
              <w:rPr>
                <w:b w:val="0"/>
                <w:sz w:val="17"/>
              </w:rPr>
              <w:t>必需</w:t>
            </w:r>
          </w:p>
        </w:tc>
      </w:tr>
      <w:tr w14:paraId="02E903B1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32E572">
            <w:pPr>
              <w:spacing w:after="0"/>
              <w:jc w:val="center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F33FC2">
            <w:pPr>
              <w:spacing w:after="0"/>
            </w:pPr>
            <w:r>
              <w:rPr>
                <w:b w:val="0"/>
                <w:sz w:val="17"/>
              </w:rPr>
              <w:t>已将排斥记录降级为审计信息，不生成偏序边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687BB8">
            <w:pPr>
              <w:spacing w:after="0"/>
              <w:jc w:val="center"/>
            </w:pPr>
            <w:r>
              <w:rPr>
                <w:b w:val="0"/>
                <w:sz w:val="17"/>
              </w:rPr>
              <w:t>必需</w:t>
            </w:r>
          </w:p>
        </w:tc>
      </w:tr>
      <w:tr w14:paraId="03F7B6E6">
        <w:tblPrEx>
          <w:tblBorders>
            <w:top w:val="single" w:color="B7C6D1" w:sz="6" w:space="0"/>
            <w:left w:val="single" w:color="B7C6D1" w:sz="6" w:space="0"/>
            <w:bottom w:val="single" w:color="B7C6D1" w:sz="6" w:space="0"/>
            <w:right w:val="single" w:color="B7C6D1" w:sz="6" w:space="0"/>
            <w:insideH w:val="single" w:color="B7C6D1" w:sz="6" w:space="0"/>
            <w:insideV w:val="single" w:color="B7C6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B1A8F2">
            <w:pPr>
              <w:spacing w:after="0"/>
              <w:jc w:val="center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DCFA45">
            <w:pPr>
              <w:spacing w:after="0"/>
            </w:pPr>
            <w:r>
              <w:rPr>
                <w:b w:val="0"/>
                <w:sz w:val="17"/>
              </w:rPr>
              <w:t>已由层秩严格递增给出反自反性证明义务</w:t>
            </w:r>
          </w:p>
        </w:tc>
        <w:tc>
          <w:tcPr>
            <w:tcW w:w="34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464ACD">
            <w:pPr>
              <w:spacing w:after="0"/>
              <w:jc w:val="center"/>
            </w:pPr>
            <w:r>
              <w:rPr>
                <w:b w:val="0"/>
                <w:sz w:val="17"/>
              </w:rPr>
              <w:t>必需</w:t>
            </w:r>
          </w:p>
        </w:tc>
      </w:tr>
    </w:tbl>
    <w:p w14:paraId="164C1322"/>
    <w:p w14:paraId="7C9D8CAF">
      <w:pPr>
        <w:pStyle w:val="3"/>
      </w:pPr>
      <w:r>
        <w:t>附录 A：R2.2 程序接口</w:t>
      </w:r>
    </w:p>
    <w:p w14:paraId="2C5CAFB9">
      <w:r>
        <w:rPr>
          <w:rFonts w:ascii="Consolas" w:hAnsi="Consolas"/>
          <w:sz w:val="17"/>
        </w:rPr>
        <w:t>instantiate_events(C) -&gt; list[Event]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ready_events(C) -&gt; list[Event]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conflict(e, f) -&gt; bool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canonical_maximal_independent_set(events) -&gt; list[Event]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apply_set(C, events) -&gt; Configuration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run_actual_chain(C0) -&gt; layers, configs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run_counterfactual_chain(configs, layers, removed_event) -&gt; chain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support_dependency(e, f) -&gt; bool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enabling_dependency_within_window(e, f, counter_chain, m) -&gt; bool</w:t>
      </w:r>
    </w:p>
    <w:p w14:paraId="20794018">
      <w:r>
        <w:t>说明：上述接口属于 R2.2 增强验证程序，不替代 R1.1B 的正式跨编接口。</w:t>
      </w:r>
    </w:p>
    <w:sectPr>
      <w:pgSz w:w="12240" w:h="15840"/>
      <w:pgMar w:top="792" w:right="893" w:bottom="792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ED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60"/>
      <w:outlineLvl w:val="0"/>
    </w:pPr>
    <w:rPr>
      <w:rFonts w:asciiTheme="majorHAnsi" w:hAnsiTheme="majorHAnsi" w:eastAsiaTheme="majorEastAsia" w:cstheme="majorBidi"/>
      <w:b/>
      <w:bCs/>
      <w:color w:val="1F4E79"/>
      <w:sz w:val="29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6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1F4E79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1822</Words>
  <Characters>2648</Characters>
  <Lines>0</Lines>
  <Paragraphs>0</Paragraphs>
  <TotalTime>0</TotalTime>
  <ScaleCrop>false</ScaleCrop>
  <LinksUpToDate>false</LinksUpToDate>
  <CharactersWithSpaces>2855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wuqiming</cp:lastModifiedBy>
  <dcterms:modified xsi:type="dcterms:W3CDTF">2026-04-16T12:58:36Z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184C62E9D941485BBF3249CF10330980_13</vt:lpwstr>
  </property>
</Properties>
</file>