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8"/>
        </w:rPr>
        <w:t>BNCFT</w:t>
      </w:r>
    </w:p>
    <w:p>
      <w:pPr>
        <w:spacing w:before="360"/>
        <w:jc w:val="center"/>
      </w:pPr>
      <w:r>
        <w:rPr>
          <w:b/>
          <w:sz w:val="40"/>
        </w:rPr>
        <w:t>BNCFT 母理论候选：离散关系代数与共享接口</w:t>
      </w:r>
    </w:p>
    <w:p>
      <w:pPr>
        <w:spacing w:before="200"/>
        <w:jc w:val="center"/>
      </w:pPr>
      <w:r>
        <w:t>主线 A 吸收修订版（v1.1）</w:t>
      </w:r>
    </w:p>
    <w:tbl>
      <w:tblPr>
        <w:tblStyle w:val="TableGrid"/>
        <w:tblW w:type="auto" w:w="0"/>
        <w:jc w:val="center"/>
        <w:tblLook w:firstColumn="1" w:firstRow="1" w:lastColumn="0" w:lastRow="0" w:noHBand="0" w:noVBand="1" w:val="04A0"/>
      </w:tblPr>
      <w:tblGrid>
        <w:gridCol w:w="4759"/>
        <w:gridCol w:w="4759"/>
      </w:tblGrid>
      <w:tr>
        <w:tc>
          <w:tcPr>
            <w:tcW w:type="dxa" w:w="4759"/>
            <w:shd w:fill="D9EAF7"/>
            <w:tcMar>
              <w:top w:w="90" w:type="dxa"/>
              <w:start w:w="120" w:type="dxa"/>
              <w:bottom w:w="90" w:type="dxa"/>
              <w:end w:w="120" w:type="dxa"/>
            </w:tcMar>
            <w:vAlign w:val="center"/>
          </w:tcPr>
          <w:p>
            <w:pPr>
              <w:spacing w:after="0" w:before="0"/>
            </w:pPr>
            <w:r>
              <w:rPr>
                <w:b/>
              </w:rPr>
              <w:t>文稿类型</w:t>
            </w:r>
          </w:p>
        </w:tc>
        <w:tc>
          <w:tcPr>
            <w:tcW w:type="dxa" w:w="4759"/>
            <w:tcMar>
              <w:top w:w="90" w:type="dxa"/>
              <w:start w:w="120" w:type="dxa"/>
              <w:bottom w:w="90" w:type="dxa"/>
              <w:end w:w="120" w:type="dxa"/>
            </w:tcMar>
            <w:vAlign w:val="center"/>
          </w:tcPr>
          <w:p>
            <w:pPr>
              <w:spacing w:after="0" w:before="0"/>
            </w:pPr>
            <w:r>
              <w:t>中文稿</w:t>
            </w:r>
          </w:p>
        </w:tc>
      </w:tr>
      <w:tr>
        <w:tc>
          <w:tcPr>
            <w:tcW w:type="dxa" w:w="4759"/>
            <w:shd w:fill="D9EAF7"/>
            <w:tcMar>
              <w:top w:w="90" w:type="dxa"/>
              <w:start w:w="120" w:type="dxa"/>
              <w:bottom w:w="90" w:type="dxa"/>
              <w:end w:w="120" w:type="dxa"/>
            </w:tcMar>
            <w:vAlign w:val="center"/>
          </w:tcPr>
          <w:p>
            <w:pPr>
              <w:spacing w:after="0" w:before="0"/>
            </w:pPr>
            <w:r>
              <w:rPr>
                <w:b/>
              </w:rPr>
              <w:t>版本</w:t>
            </w:r>
          </w:p>
        </w:tc>
        <w:tc>
          <w:tcPr>
            <w:tcW w:type="dxa" w:w="4759"/>
            <w:tcMar>
              <w:top w:w="90" w:type="dxa"/>
              <w:start w:w="120" w:type="dxa"/>
              <w:bottom w:w="90" w:type="dxa"/>
              <w:end w:w="120" w:type="dxa"/>
            </w:tcMar>
            <w:vAlign w:val="center"/>
          </w:tcPr>
          <w:p>
            <w:pPr>
              <w:spacing w:after="0" w:before="0"/>
            </w:pPr>
            <w:r>
              <w:t>v1.0</w:t>
            </w:r>
          </w:p>
        </w:tc>
      </w:tr>
      <w:tr>
        <w:tc>
          <w:tcPr>
            <w:tcW w:type="dxa" w:w="4759"/>
            <w:shd w:fill="D9EAF7"/>
            <w:tcMar>
              <w:top w:w="90" w:type="dxa"/>
              <w:start w:w="120" w:type="dxa"/>
              <w:bottom w:w="90" w:type="dxa"/>
              <w:end w:w="120" w:type="dxa"/>
            </w:tcMar>
            <w:vAlign w:val="center"/>
          </w:tcPr>
          <w:p>
            <w:pPr>
              <w:spacing w:after="0" w:before="0"/>
            </w:pPr>
            <w:r>
              <w:rPr>
                <w:b/>
              </w:rPr>
              <w:t>日期</w:t>
            </w:r>
          </w:p>
        </w:tc>
        <w:tc>
          <w:tcPr>
            <w:tcW w:type="dxa" w:w="4759"/>
            <w:tcMar>
              <w:top w:w="90" w:type="dxa"/>
              <w:start w:w="120" w:type="dxa"/>
              <w:bottom w:w="90" w:type="dxa"/>
              <w:end w:w="120" w:type="dxa"/>
            </w:tcMar>
            <w:vAlign w:val="center"/>
          </w:tcPr>
          <w:p>
            <w:pPr>
              <w:spacing w:after="0" w:before="0"/>
            </w:pPr>
            <w:r>
              <w:t>2026-04-21</w:t>
            </w:r>
          </w:p>
        </w:tc>
      </w:tr>
      <w:tr>
        <w:tc>
          <w:tcPr>
            <w:tcW w:type="dxa" w:w="4759"/>
            <w:shd w:fill="D9EAF7"/>
            <w:tcMar>
              <w:top w:w="90" w:type="dxa"/>
              <w:start w:w="120" w:type="dxa"/>
              <w:bottom w:w="90" w:type="dxa"/>
              <w:end w:w="120" w:type="dxa"/>
            </w:tcMar>
            <w:vAlign w:val="center"/>
          </w:tcPr>
          <w:p>
            <w:pPr>
              <w:spacing w:after="0" w:before="0"/>
            </w:pPr>
            <w:r>
              <w:rPr>
                <w:b/>
              </w:rPr>
              <w:t>定位</w:t>
            </w:r>
          </w:p>
        </w:tc>
        <w:tc>
          <w:tcPr>
            <w:tcW w:type="dxa" w:w="4759"/>
            <w:tcMar>
              <w:top w:w="90" w:type="dxa"/>
              <w:start w:w="120" w:type="dxa"/>
              <w:bottom w:w="90" w:type="dxa"/>
              <w:end w:w="120" w:type="dxa"/>
            </w:tcMar>
            <w:vAlign w:val="center"/>
          </w:tcPr>
          <w:p>
            <w:pPr>
              <w:spacing w:after="0" w:before="0"/>
            </w:pPr>
            <w:r>
              <w:t>主线 A / 母理论候选正式稿</w:t>
            </w:r>
          </w:p>
        </w:tc>
      </w:tr>
    </w:tbl>
    <w:p/>
    <w:p>
      <w:pPr>
        <w:jc w:val="center"/>
      </w:pPr>
      <w:r>
        <w:rPr>
          <w:color w:val="646464"/>
          <w:sz w:val="22"/>
        </w:rPr>
        <w:t>Background-Free Nonlinear Common Field Theory</w:t>
      </w:r>
    </w:p>
    <w:p>
      <w:r>
        <w:br w:type="page"/>
      </w:r>
    </w:p>
    <w:p>
      <w:pPr>
        <w:pStyle w:val="Heading1"/>
        <w:spacing w:before="0"/>
      </w:pPr>
      <w:r>
        <w:t>摘  要</w:t>
      </w:r>
    </w:p>
    <w:p>
      <w:r>
        <w:t>本文提出 BNCFT（Background-Free Nonlinear Common Field Theory，无背景非线性共享场理论）在母理论层面的一个候选起点：不以连续时空、连续场或预设流形为基本对象，而以无背景的离散关系系统及其关系代数结构作为最小出发点。在该框架中，所谓“共享”不是先验连续介质上的场值分布，也不是宏观意义上的公共背景，而是系统内部不同局域对象之间通过关系约束、共同可达结构与共同响应规则所形成的可操作耦合模式。本文的目标不是直接推出广义相对论、量子理论或标准模型，也不是把连续有效理论上升为母理论本体，而是为后续的离散样板构造、维数筛选、无信号接口与几何验收提供一个统一、可审查、可失败的底层定义框架。</w:t>
        <w:br/>
        <w:br/>
        <w:t>本文强调三条防火墙。第一，不预设连续时空背景，不允许把距离、坐标、光锥、度规等对象作为母理论输入；第二，不把连续共享场当作基本对象，而仅允许其在几何相出现后被视作有效参数化变量；第三，不以“可解释既有理论”为成功标准，而以“能否构造有限维、可计算、可失败的离散桥梁”为首要验收标准。基于这一定位，本文给出 BNCFT 母理论候选的最小对象表、关系代数表述、共享接口定义、状态更新框架、可观测量分类以及失败判据。本文的结果不是终局理论，而是主线 A 的总地基：若该离散候选无法支持后续的 rank-4 稳健性、无信号相关与单度规几何验收，则主线必须回退；若其通过这些桥梁验证，则连续有效接口才具有被进一步讨论的资格。</w:t>
      </w:r>
    </w:p>
    <w:p>
      <w:r>
        <w:rPr>
          <w:b/>
        </w:rPr>
        <w:t xml:space="preserve">关键词： </w:t>
      </w:r>
      <w:r>
        <w:t>BNCFT；无背景；离散关系代数；共享接口；母理论候选；可失败桥梁</w:t>
      </w:r>
    </w:p>
    <w:p/>
    <w:p>
      <w:pPr>
        <w:pStyle w:val="Heading1"/>
      </w:pPr>
      <w:r>
        <w:t>目录</w:t>
      </w:r>
    </w:p>
    <w:p>
      <w:pPr>
        <w:ind w:left="170"/>
      </w:pPr>
      <w:r>
        <w:rPr>
          <w:b/>
        </w:rPr>
        <w:t>0. 定位、防火墙与使用限制</w:t>
      </w:r>
    </w:p>
    <w:p>
      <w:pPr>
        <w:spacing w:after="0"/>
        <w:ind w:left="454"/>
      </w:pPr>
      <w:r>
        <w:t>0.1 本文定位</w:t>
      </w:r>
    </w:p>
    <w:p>
      <w:pPr>
        <w:spacing w:after="0"/>
        <w:ind w:left="454"/>
      </w:pPr>
      <w:r>
        <w:t>0.2 三条防火墙</w:t>
      </w:r>
    </w:p>
    <w:p>
      <w:pPr>
        <w:spacing w:after="0"/>
        <w:ind w:left="454"/>
      </w:pPr>
      <w:r>
        <w:t>0.3 使用限制</w:t>
      </w:r>
    </w:p>
    <w:p>
      <w:pPr>
        <w:spacing w:after="0"/>
        <w:ind w:left="454"/>
      </w:pPr>
      <w:r>
        <w:t>0.4 最低交付物</w:t>
      </w:r>
    </w:p>
    <w:p>
      <w:pPr>
        <w:ind w:left="170"/>
      </w:pPr>
      <w:r>
        <w:rPr>
          <w:b/>
        </w:rPr>
        <w:t>1. 为什么母理论不能从连续共享场起步</w:t>
      </w:r>
    </w:p>
    <w:p>
      <w:pPr>
        <w:spacing w:after="0"/>
        <w:ind w:left="454"/>
      </w:pPr>
      <w:r>
        <w:t>1.1 问题的根源：从连续场起步会偷渡背景</w:t>
      </w:r>
    </w:p>
    <w:p>
      <w:pPr>
        <w:spacing w:after="0"/>
        <w:ind w:left="454"/>
      </w:pPr>
      <w:r>
        <w:t>1.2 连续共享场适合做有效变量，不适合做本体起点</w:t>
      </w:r>
    </w:p>
    <w:p>
      <w:pPr>
        <w:spacing w:after="0"/>
        <w:ind w:left="454"/>
      </w:pPr>
      <w:r>
        <w:t>1.3 无背景理论必须先回答“对象如何相关”</w:t>
      </w:r>
    </w:p>
    <w:p>
      <w:pPr>
        <w:spacing w:after="0"/>
        <w:ind w:left="454"/>
      </w:pPr>
      <w:r>
        <w:t>1.4 连续起步还会混淆层级</w:t>
      </w:r>
    </w:p>
    <w:p>
      <w:pPr>
        <w:spacing w:after="0"/>
        <w:ind w:left="454"/>
      </w:pPr>
      <w:r>
        <w:t>1.5 本文的替代方案</w:t>
      </w:r>
    </w:p>
    <w:p>
      <w:pPr>
        <w:spacing w:after="0"/>
        <w:ind w:left="454"/>
      </w:pPr>
      <w:r>
        <w:t>1.6 本节结论</w:t>
      </w:r>
    </w:p>
    <w:p>
      <w:pPr>
        <w:ind w:left="170"/>
      </w:pPr>
      <w:r>
        <w:rPr>
          <w:b/>
        </w:rPr>
        <w:t>2. 母理论候选的最小对象：关系系统、状态与约束</w:t>
      </w:r>
    </w:p>
    <w:p>
      <w:pPr>
        <w:spacing w:after="0"/>
        <w:ind w:left="454"/>
      </w:pPr>
      <w:r>
        <w:t>2.1 最小出发点</w:t>
      </w:r>
    </w:p>
    <w:p>
      <w:pPr>
        <w:spacing w:after="0"/>
        <w:ind w:left="454"/>
      </w:pPr>
      <w:r>
        <w:t>2.2 对象集合 Ω</w:t>
      </w:r>
    </w:p>
    <w:p>
      <w:pPr>
        <w:spacing w:after="0"/>
        <w:ind w:left="454"/>
      </w:pPr>
      <w:r>
        <w:t>2.3 关系集合 ℛ</w:t>
      </w:r>
    </w:p>
    <w:p>
      <w:pPr>
        <w:spacing w:after="0"/>
        <w:ind w:left="454"/>
      </w:pPr>
      <w:r>
        <w:t>2.4 状态集合 Σ</w:t>
      </w:r>
    </w:p>
    <w:p>
      <w:pPr>
        <w:spacing w:after="0"/>
        <w:ind w:left="454"/>
      </w:pPr>
      <w:r>
        <w:t>2.5 约束集合 𝒞</w:t>
      </w:r>
    </w:p>
    <w:p>
      <w:pPr>
        <w:spacing w:after="0"/>
        <w:ind w:left="454"/>
      </w:pPr>
      <w:r>
        <w:t>2.6 更新规则族 𝒰</w:t>
      </w:r>
    </w:p>
    <w:p>
      <w:pPr>
        <w:spacing w:after="0"/>
        <w:ind w:left="454"/>
      </w:pPr>
      <w:r>
        <w:t>2.7 可观测量集合 𝒪</w:t>
      </w:r>
    </w:p>
    <w:p>
      <w:pPr>
        <w:spacing w:after="0"/>
        <w:ind w:left="454"/>
      </w:pPr>
      <w:r>
        <w:t>2.8 共享的最小前提</w:t>
      </w:r>
    </w:p>
    <w:p>
      <w:pPr>
        <w:spacing w:after="0"/>
        <w:ind w:left="454"/>
      </w:pPr>
      <w:r>
        <w:t>2.9 最小对象表汇总</w:t>
      </w:r>
    </w:p>
    <w:p>
      <w:pPr>
        <w:spacing w:after="0"/>
        <w:ind w:left="454"/>
      </w:pPr>
      <w:r>
        <w:t>2.10 本节结论</w:t>
      </w:r>
    </w:p>
    <w:p>
      <w:pPr>
        <w:ind w:left="170"/>
      </w:pPr>
      <w:r>
        <w:rPr>
          <w:b/>
        </w:rPr>
        <w:t>3. 离散关系代数表述：关系矩阵、局域更新与可组合结构</w:t>
      </w:r>
    </w:p>
    <w:p>
      <w:pPr>
        <w:spacing w:after="0"/>
        <w:ind w:left="454"/>
      </w:pPr>
      <w:r>
        <w:t>3.1 为什么必须进入代数表述</w:t>
      </w:r>
    </w:p>
    <w:p>
      <w:pPr>
        <w:spacing w:after="0"/>
        <w:ind w:left="454"/>
      </w:pPr>
      <w:r>
        <w:t>3.2 关系矩阵表示</w:t>
      </w:r>
    </w:p>
    <w:p>
      <w:pPr>
        <w:spacing w:after="0"/>
        <w:ind w:left="454"/>
      </w:pPr>
      <w:r>
        <w:t>3.3 关系矩阵的物理含义</w:t>
      </w:r>
    </w:p>
    <w:p>
      <w:pPr>
        <w:spacing w:after="0"/>
        <w:ind w:left="454"/>
      </w:pPr>
      <w:r>
        <w:t>3.4 关系代数 𝔄</w:t>
      </w:r>
    </w:p>
    <w:p>
      <w:pPr>
        <w:spacing w:after="0"/>
        <w:ind w:left="454"/>
      </w:pPr>
      <w:r>
        <w:t>3.5 生成元的选择</w:t>
      </w:r>
    </w:p>
    <w:p>
      <w:pPr>
        <w:spacing w:after="0"/>
        <w:ind w:left="454"/>
      </w:pPr>
      <w:r>
        <w:t>3.6 近对易区</w:t>
      </w:r>
    </w:p>
    <w:p>
      <w:pPr>
        <w:spacing w:after="0"/>
        <w:ind w:left="454"/>
      </w:pPr>
      <w:r>
        <w:t>3.7 联合谱与有效维数</w:t>
      </w:r>
    </w:p>
    <w:p>
      <w:pPr>
        <w:spacing w:after="0"/>
        <w:ind w:left="454"/>
      </w:pPr>
      <w:r>
        <w:t>3.8 局域更新的代数表示</w:t>
      </w:r>
    </w:p>
    <w:p>
      <w:pPr>
        <w:spacing w:after="0"/>
        <w:ind w:left="454"/>
      </w:pPr>
      <w:r>
        <w:t>3.9 可组合结构</w:t>
      </w:r>
    </w:p>
    <w:p>
      <w:pPr>
        <w:spacing w:after="0"/>
        <w:ind w:left="454"/>
      </w:pPr>
      <w:r>
        <w:t>3.10 关系代数中的局域性</w:t>
      </w:r>
    </w:p>
    <w:p>
      <w:pPr>
        <w:spacing w:after="0"/>
        <w:ind w:left="454"/>
      </w:pPr>
      <w:r>
        <w:t>3.11 最小代数模板</w:t>
      </w:r>
    </w:p>
    <w:p>
      <w:pPr>
        <w:spacing w:after="0"/>
        <w:ind w:left="454"/>
      </w:pPr>
      <w:r>
        <w:t>3.12 本节结论</w:t>
      </w:r>
    </w:p>
    <w:p>
      <w:pPr>
        <w:ind w:left="170"/>
      </w:pPr>
      <w:r>
        <w:rPr>
          <w:b/>
        </w:rPr>
        <w:t>4. 共享接口的严格定义：共同约束、共同可达与共同响应</w:t>
      </w:r>
    </w:p>
    <w:p>
      <w:pPr>
        <w:spacing w:after="0"/>
        <w:ind w:left="454"/>
      </w:pPr>
      <w:r>
        <w:t>4.1 为什么“共享”必须被重新定义</w:t>
      </w:r>
    </w:p>
    <w:p>
      <w:pPr>
        <w:spacing w:after="0"/>
        <w:ind w:left="454"/>
      </w:pPr>
      <w:r>
        <w:t>4.2 共享不是额外对象</w:t>
      </w:r>
    </w:p>
    <w:p>
      <w:pPr>
        <w:spacing w:after="0"/>
        <w:ind w:left="454"/>
      </w:pPr>
      <w:r>
        <w:t>4.3 共享接口的总定义</w:t>
      </w:r>
    </w:p>
    <w:p>
      <w:pPr>
        <w:spacing w:after="0"/>
        <w:ind w:left="454"/>
      </w:pPr>
      <w:r>
        <w:t>4.4 共同约束</w:t>
      </w:r>
    </w:p>
    <w:p>
      <w:pPr>
        <w:spacing w:after="0"/>
        <w:ind w:left="454"/>
      </w:pPr>
      <w:r>
        <w:t>4.5 共同可达</w:t>
      </w:r>
    </w:p>
    <w:p>
      <w:pPr>
        <w:spacing w:after="0"/>
        <w:ind w:left="454"/>
      </w:pPr>
      <w:r>
        <w:t>4.6 共同响应</w:t>
      </w:r>
    </w:p>
    <w:p>
      <w:pPr>
        <w:spacing w:after="0"/>
        <w:ind w:left="454"/>
      </w:pPr>
      <w:r>
        <w:t>4.7 共同不变量与联合读出</w:t>
      </w:r>
    </w:p>
    <w:p>
      <w:pPr>
        <w:spacing w:after="0"/>
        <w:ind w:left="454"/>
      </w:pPr>
      <w:r>
        <w:t>4.8 共享强度不是二值</w:t>
      </w:r>
    </w:p>
    <w:p>
      <w:pPr>
        <w:spacing w:after="0"/>
        <w:ind w:left="454"/>
      </w:pPr>
      <w:r>
        <w:t>4.9 什么不算共享</w:t>
      </w:r>
    </w:p>
    <w:p>
      <w:pPr>
        <w:spacing w:after="0"/>
        <w:ind w:left="454"/>
      </w:pPr>
      <w:r>
        <w:t>4.10 与连续共享场的关系</w:t>
      </w:r>
    </w:p>
    <w:p>
      <w:pPr>
        <w:spacing w:after="0"/>
        <w:ind w:left="454"/>
      </w:pPr>
      <w:r>
        <w:t>4.11 最小形式模板</w:t>
      </w:r>
    </w:p>
    <w:p>
      <w:pPr>
        <w:spacing w:after="0"/>
        <w:ind w:left="454"/>
      </w:pPr>
      <w:r>
        <w:t>4.12 本节结论</w:t>
      </w:r>
    </w:p>
    <w:p>
      <w:pPr>
        <w:ind w:left="170"/>
      </w:pPr>
      <w:r>
        <w:rPr>
          <w:b/>
        </w:rPr>
        <w:t>5. 母理论层允许谈什么，不允许谈什么</w:t>
      </w:r>
    </w:p>
    <w:p>
      <w:pPr>
        <w:spacing w:after="0"/>
        <w:ind w:left="454"/>
      </w:pPr>
      <w:r>
        <w:t>5.1 为什么必须单列这一节</w:t>
      </w:r>
    </w:p>
    <w:p>
      <w:pPr>
        <w:spacing w:after="0"/>
        <w:ind w:left="454"/>
      </w:pPr>
      <w:r>
        <w:t>5.2 母理论层允许谈的内容</w:t>
      </w:r>
    </w:p>
    <w:p>
      <w:pPr>
        <w:spacing w:after="0"/>
        <w:ind w:left="454"/>
      </w:pPr>
      <w:r>
        <w:t>5.3 母理论层不允许谈的内容</w:t>
      </w:r>
    </w:p>
    <w:p>
      <w:pPr>
        <w:spacing w:after="0"/>
        <w:ind w:left="454"/>
      </w:pPr>
      <w:r>
        <w:t>5.4 四级表述体系</w:t>
      </w:r>
    </w:p>
    <w:p>
      <w:pPr>
        <w:spacing w:after="0"/>
        <w:ind w:left="454"/>
      </w:pPr>
      <w:r>
        <w:t>5.5 安全语言模板</w:t>
      </w:r>
    </w:p>
    <w:p>
      <w:pPr>
        <w:spacing w:after="0"/>
        <w:ind w:left="454"/>
      </w:pPr>
      <w:r>
        <w:t>5.6 本节结论</w:t>
      </w:r>
    </w:p>
    <w:p>
      <w:pPr>
        <w:ind w:left="170"/>
      </w:pPr>
      <w:r>
        <w:rPr>
          <w:b/>
        </w:rPr>
        <w:t>6. 可观测量、粗粒化方向与桥梁目标</w:t>
      </w:r>
    </w:p>
    <w:p>
      <w:pPr>
        <w:spacing w:after="0"/>
        <w:ind w:left="454"/>
      </w:pPr>
      <w:r>
        <w:t>6.1 为什么要提前讨论这一节</w:t>
      </w:r>
    </w:p>
    <w:p>
      <w:pPr>
        <w:spacing w:after="0"/>
        <w:ind w:left="454"/>
      </w:pPr>
      <w:r>
        <w:t>6.2 可观测量的三层分类</w:t>
      </w:r>
    </w:p>
    <w:p>
      <w:pPr>
        <w:spacing w:after="0"/>
        <w:ind w:left="454"/>
      </w:pPr>
      <w:r>
        <w:t>6.3 为什么它们先是内部读出量</w:t>
      </w:r>
    </w:p>
    <w:p>
      <w:pPr>
        <w:spacing w:after="0"/>
        <w:ind w:left="454"/>
      </w:pPr>
      <w:r>
        <w:t>6.4 粗粒化的必要性</w:t>
      </w:r>
    </w:p>
    <w:p>
      <w:pPr>
        <w:spacing w:after="0"/>
        <w:ind w:left="454"/>
      </w:pPr>
      <w:r>
        <w:t>6.5 可能的粗粒化方向</w:t>
      </w:r>
    </w:p>
    <w:p>
      <w:pPr>
        <w:spacing w:after="0"/>
        <w:ind w:left="454"/>
      </w:pPr>
      <w:r>
        <w:t>6.6 主线 A 的桥梁目标</w:t>
      </w:r>
    </w:p>
    <w:p>
      <w:pPr>
        <w:spacing w:after="0"/>
        <w:ind w:left="454"/>
      </w:pPr>
      <w:r>
        <w:t>6.7 与主线 B 的关系</w:t>
      </w:r>
    </w:p>
    <w:p>
      <w:pPr>
        <w:spacing w:after="0"/>
        <w:ind w:left="454"/>
      </w:pPr>
      <w:r>
        <w:t>6.8 建议的桥梁读出表</w:t>
      </w:r>
    </w:p>
    <w:p>
      <w:pPr>
        <w:spacing w:after="0"/>
        <w:ind w:left="454"/>
      </w:pPr>
      <w:r>
        <w:t>6.9 本节结论</w:t>
      </w:r>
    </w:p>
    <w:p>
      <w:pPr>
        <w:ind w:left="170"/>
      </w:pPr>
      <w:r>
        <w:rPr>
          <w:b/>
        </w:rPr>
        <w:t>7. 失败判据、回退机制与后续样板要求</w:t>
      </w:r>
    </w:p>
    <w:p>
      <w:pPr>
        <w:spacing w:after="0"/>
        <w:ind w:left="454"/>
      </w:pPr>
      <w:r>
        <w:t>7.1 为什么必须把“失败”写进正文</w:t>
      </w:r>
    </w:p>
    <w:p>
      <w:pPr>
        <w:spacing w:after="0"/>
        <w:ind w:left="454"/>
      </w:pPr>
      <w:r>
        <w:t>7.2 一级失败：对象层失败</w:t>
      </w:r>
    </w:p>
    <w:p>
      <w:pPr>
        <w:spacing w:after="0"/>
        <w:ind w:left="454"/>
      </w:pPr>
      <w:r>
        <w:t>7.3 二级失败：样板可计算性失败</w:t>
      </w:r>
    </w:p>
    <w:p>
      <w:pPr>
        <w:spacing w:after="0"/>
        <w:ind w:left="454"/>
      </w:pPr>
      <w:r>
        <w:t>7.4 三级失败：维数桥梁失败</w:t>
      </w:r>
    </w:p>
    <w:p>
      <w:pPr>
        <w:spacing w:after="0"/>
        <w:ind w:left="454"/>
      </w:pPr>
      <w:r>
        <w:t>7.5 四级失败：无信号共享桥梁失败</w:t>
      </w:r>
    </w:p>
    <w:p>
      <w:pPr>
        <w:spacing w:after="0"/>
        <w:ind w:left="454"/>
      </w:pPr>
      <w:r>
        <w:t>7.6 五级失败：单度规读出失败</w:t>
      </w:r>
    </w:p>
    <w:p>
      <w:pPr>
        <w:spacing w:after="0"/>
        <w:ind w:left="454"/>
      </w:pPr>
      <w:r>
        <w:t>7.7 六级失败：普适耦合与守恒桥梁失败</w:t>
      </w:r>
    </w:p>
    <w:p>
      <w:pPr>
        <w:spacing w:after="0"/>
        <w:ind w:left="454"/>
      </w:pPr>
      <w:r>
        <w:t>7.8 回退机制</w:t>
      </w:r>
    </w:p>
    <w:p>
      <w:pPr>
        <w:spacing w:after="0"/>
        <w:ind w:left="454"/>
      </w:pPr>
      <w:r>
        <w:t>7.9 对后续样板模型的最低要求</w:t>
      </w:r>
    </w:p>
    <w:p>
      <w:pPr>
        <w:spacing w:after="0"/>
        <w:ind w:left="454"/>
      </w:pPr>
      <w:r>
        <w:t>7.10 本节结论</w:t>
      </w:r>
    </w:p>
    <w:p>
      <w:pPr>
        <w:ind w:left="170"/>
      </w:pPr>
      <w:r>
        <w:rPr>
          <w:b/>
        </w:rPr>
        <w:t>结语</w:t>
      </w:r>
    </w:p>
    <w:p>
      <w:pPr>
        <w:spacing w:after="0"/>
        <w:ind w:left="454"/>
      </w:pPr>
      <w:r>
        <w:t>总收束</w:t>
      </w:r>
    </w:p>
    <w:p>
      <w:r>
        <w:br w:type="page"/>
      </w:r>
    </w:p>
    <w:p>
      <w:pPr>
        <w:pStyle w:val="Heading1"/>
      </w:pPr>
      <w:r>
        <w:t>0. 定位、防火墙与使用限制</w:t>
      </w:r>
    </w:p>
    <w:p>
      <w:pPr>
        <w:pStyle w:val="Heading2"/>
      </w:pPr>
      <w:r>
        <w:t>0.1 本文定位</w:t>
      </w:r>
    </w:p>
    <w:p>
      <w:r>
        <w:t>本文是 BNCFT 主线 A 的起点文稿，并构成 BNCFT 第一编（母理论编）的核心正式表述。其任务不是证明 BNCFT 已经成功，也不是展示 BNCFT 已经推出广义相对论或量子理论，而是提出一个母理论候选的最小起点。这里“母理论候选”一词必须严格理解：它只表示一种底层构造方案，具有继续被检验的资格；它不表示该方案已被证明唯一、正确或完备。</w:t>
      </w:r>
    </w:p>
    <w:p>
      <w:r>
        <w:t>本文的直接目标有三项。第一，给出一个不偷渡背景时空的基本对象定义。第二，说明“共享”在底层结构上究竟指什么，而不是把它写成哲学性口号。第三，为后续的离散样板模型、rank-4 维数筛选、Bell/无信号接口和几何验收标准提供统一语言。</w:t>
      </w:r>
    </w:p>
    <w:p>
      <w:r>
        <w:t>因此，本文不承担以下任务：不承担连续 EFT 的建立；不承担 GR 极限的推出；不承担实验拟合；不承担标准模型全耦合解释；不承担黑洞、宇宙学、强耦合物质等高阶接口的直接构造。若这些工作要开展，只能建立在主线 A 后续桥梁验证通过的基础上。</w:t>
      </w:r>
    </w:p>
    <w:p>
      <w:pPr/>
      <w:r>
        <w:t>在全书编目上，本文对应第一编的核心起点；其下游承接对象不是直接的连续物理理论，而是 A2-A5 的离散桥梁施工链，以及在桥梁验收通过后才允许进入的主线 B 连续接口模板。</w:t>
      </w:r>
    </w:p>
    <w:p>
      <w:pPr>
        <w:pStyle w:val="Heading2"/>
      </w:pPr>
      <w:r>
        <w:t>0.2 三条防火墙</w:t>
      </w:r>
    </w:p>
    <w:p>
      <w:r>
        <w:t>第一，不预设连续背景，不允许把连续流形、坐标系、预设维数、度规张量、光锥结构、经典时序参数或现成局域场方程作为母理论输入。第二，连续共享场不是母理论基本对象；它只能在几何相中作为有效参数化变量出现。第三，本文不以“解释能力强”代替“桥梁可验证”；BNCFT 是否成立，首先取决于离散桥梁是否可构造、可计算、可失败，而不取决于连续语言是否优美。</w:t>
      </w:r>
    </w:p>
    <w:p>
      <w:pPr>
        <w:pStyle w:val="Heading2"/>
      </w:pPr>
      <w:r>
        <w:t>0.3 使用限制</w:t>
      </w:r>
    </w:p>
    <w:p>
      <w:r>
        <w:t>本文只能作为以下工作的前置基础：有限维关系矩阵网络的样板构造、近对易区与联合谱结构分析、有效维数与 rank 稳健性筛选、无信号相关与可操作因果性测试，以及几何相验收标准的制定。本文不能被用来作出“BNCFT 已推出 GR”“BNCFT 已完成量子引力统一”“连续共享场已被证明是宇宙本体”等结论。若后续桥梁文稿失败，本文也必须接受回退，不具有免检地位。</w:t>
      </w:r>
    </w:p>
    <w:p>
      <w:pPr>
        <w:pStyle w:val="Heading2"/>
      </w:pPr>
      <w:r>
        <w:t>0.4 最低交付物</w:t>
      </w:r>
    </w:p>
    <w:p>
      <w:r>
        <w:t>本文至少要交出五类内容：最小对象表、关系代数表、共享接口定义、可观测量清单以及失败判据。若这五类内容未被明确给出，则本文不能算完成。</w:t>
      </w:r>
    </w:p>
    <w:p/>
    <w:p>
      <w:pPr>
        <w:pStyle w:val="Heading1"/>
      </w:pPr>
      <w:r>
        <w:t>1. 为什么母理论不能从连续共享场起步</w:t>
      </w:r>
    </w:p>
    <w:p>
      <w:pPr>
        <w:pStyle w:val="Heading2"/>
      </w:pPr>
      <w:r>
        <w:t>1.1 问题的根源：从连续场起步会偷渡背景</w:t>
      </w:r>
    </w:p>
    <w:p>
      <w:r>
        <w:t>如果一个理论一开始就写下连续场 Φ(x)，那么其中的 x 已经默认了一个定义良好的点集、邻域结构、拓扑乃至某种可微结构。即便作者口头上宣称“无背景”，只要公式层面已经使用了连续坐标、积分域、偏导算符或度规收缩，该理论实际上就已把背景结构偷渡进来了。BNCFT 若要作为真正的无背景理论候选，其母理论出发点就不能是“连续场 + 连续坐标 + 连续演化参数”，而必须是更原初的、尚未分化出几何舞台的关系结构。</w:t>
      </w:r>
    </w:p>
    <w:p>
      <w:pPr>
        <w:pStyle w:val="Heading2"/>
      </w:pPr>
      <w:r>
        <w:t>1.2 连续共享场适合做有效变量，不适合做本体起点</w:t>
      </w:r>
    </w:p>
    <w:p>
      <w:r>
        <w:t>若在连续有效理论层使用“共享场”，它可以表示许多局域自由度经过粗粒化后的集体变量，也可以作为几何相中的统一参数化语言；这种用法是允许的。但若把“共享场”直接当作母理论基本对象，就会立刻遇到三个困难：其一，“共享”的定义会变得空泛；其二，连续变量会掩盖底层离散约束；其三，很难构造真正可失败的桥梁。因此，连续共享场只能被放在几何相中的有效描述层。</w:t>
      </w:r>
    </w:p>
    <w:p>
      <w:pPr>
        <w:pStyle w:val="Heading2"/>
      </w:pPr>
      <w:r>
        <w:t>1.3 无背景理论必须先回答“对象如何相关”</w:t>
      </w:r>
    </w:p>
    <w:p>
      <w:r>
        <w:t>在传统连续理论中，基本问题通常写成某个场在某个背景上如何分布、如何演化、如何传播；但在无背景路线中，更原初的问题应当是：有哪些对象？这些对象之间存在哪些关系？这些关系如何被约束、复合与改写？因此，研究顺序必须反过来：不是“先有空间，再有场在空间上变化”，而是“先有关系结构，再问何种粗粒化下会读出空间、传播与几何”。</w:t>
      </w:r>
    </w:p>
    <w:p>
      <w:pPr>
        <w:pStyle w:val="Heading2"/>
      </w:pPr>
      <w:r>
        <w:t>1.4 连续起步还会混淆层级</w:t>
      </w:r>
    </w:p>
    <w:p>
      <w:r>
        <w:t>如果先写连续模型，再补一个“它来自更底层离散结构”的说明，理论很容易在写作上发生层级混乱：把接口条件写成母理论公理，把有效变量写成本体变量，把解释框架写成推出结论，把相容性写成推导性。这正是此前连续 v0.1 需要降级的根本原因。</w:t>
      </w:r>
    </w:p>
    <w:p>
      <w:pPr>
        <w:pStyle w:val="Heading2"/>
      </w:pPr>
      <w:r>
        <w:t>1.5 本文的替代方案</w:t>
      </w:r>
    </w:p>
    <w:p>
      <w:r>
        <w:t>既然不能从连续共享场起步，那么母理论层的替代方案必须满足四个要求：对象必须有限、明确、可枚举；关系必须可代数化；共享必须可操作化；模型必须允许失败。由此，本文采用“离散关系代数 + 共享接口”作为母理论层的正式起点。</w:t>
      </w:r>
    </w:p>
    <w:p>
      <w:pPr>
        <w:pStyle w:val="Heading2"/>
      </w:pPr>
      <w:r>
        <w:t>1.6 本节结论</w:t>
      </w:r>
    </w:p>
    <w:p>
      <w:r>
        <w:t>BNCFT 的母理论候选不能从连续共享场起步；连续共享场只能被放在几何相中的有效描述层。母理论层的正确起点，应当是无背景的离散关系系统及其关系代数结构，而“共享”则必须被重写为可操作、可约束、可失败的接口概念。</w:t>
      </w:r>
    </w:p>
    <w:p/>
    <w:p>
      <w:pPr>
        <w:pStyle w:val="Heading1"/>
      </w:pPr>
      <w:r>
        <w:t>2. 母理论候选的最小对象：关系系统、状态与约束</w:t>
      </w:r>
    </w:p>
    <w:p>
      <w:pPr>
        <w:pStyle w:val="Heading2"/>
      </w:pPr>
      <w:r>
        <w:t>2.1 最小出发点</w:t>
      </w:r>
    </w:p>
    <w:p>
      <w:r>
        <w:t>在本文的母理论候选中，最小基本单元不再被设定为连续空间中的“点”或“点上的场值”，而被设定为一个有限或可数的关系系统，记为 𝒮=(Ω,ℛ,Σ,𝒞,𝒰,𝒪)，其中 Ω 表示对象集合，ℛ 表示关系集合，Σ 表示状态集合，𝒞 表示约束集合，𝒰 表示允许的更新规则族，𝒪 表示可观测量集合。</w:t>
      </w:r>
    </w:p>
    <w:p>
      <w:pPr>
        <w:pStyle w:val="Heading2"/>
      </w:pPr>
      <w:r>
        <w:t>2.2 对象集合 Ω</w:t>
      </w:r>
    </w:p>
    <w:p>
      <w:r>
        <w:t>Ω 的元素可称为局域单元、关系载体或原初对象。这里“局域”不是几何意义上的局域，而是指它们是系统中可独立编号、可参与关系、可被局域更新规则作用的最小单元。本文对 Ω 只施加三条最低要求：可区分性、可参与性以及有限样板可实现性。</w:t>
      </w:r>
    </w:p>
    <w:p>
      <w:pPr>
        <w:pStyle w:val="Heading2"/>
      </w:pPr>
      <w:r>
        <w:t>2.3 关系集合 ℛ</w:t>
      </w:r>
    </w:p>
    <w:p>
      <w:r>
        <w:t>若只有对象集合 Ω，理论仍然是空的。真正承载结构的是关系集合 ℛ。关系元不必等同于图论中的“边”，它可以携带更丰富的信息，例如有向/无向标记、权重、类型、激活态/抑制态、局域可达性、兼容/不兼容记号以及可组合性标签。ℛ 至少承担连通、约束载体、传播前体和几何前体四种角色。</w:t>
      </w:r>
    </w:p>
    <w:p>
      <w:pPr>
        <w:pStyle w:val="Heading2"/>
      </w:pPr>
      <w:r>
        <w:t>2.4 状态集合 Σ</w:t>
      </w:r>
    </w:p>
    <w:p>
      <w:r>
        <w:t>本文允许状态分为三类：对象态 σ(a)∈ΣΩ、关系态 ρ(a,b)∈Σℛ 以及定义在子系统上的复合态 χ(X)∈Σcomp。因此，系统总状态可记作 s=(σ,ρ,χ)。这一写法意味着：母理论不是一个单层图，而是一个带有对象态、关系态和复合态的多层关系系统。</w:t>
      </w:r>
    </w:p>
    <w:p>
      <w:pPr>
        <w:pStyle w:val="Heading2"/>
      </w:pPr>
      <w:r>
        <w:t>2.5 约束集合 𝒞</w:t>
      </w:r>
    </w:p>
    <w:p>
      <w:r>
        <w:t>若没有约束，关系系统虽然可以任意构造，却没有理论判别力。约束集合 𝒞 规定哪些状态和关系配置是允许的，哪些是不允许的。本文区分相容性约束、局域更新约束、守恒型约束以及共享一致性约束。𝒞 的作用不仅是“约束自由度”，更是保证模型拥有可审查逻辑骨架。</w:t>
      </w:r>
    </w:p>
    <w:p>
      <w:pPr>
        <w:pStyle w:val="Heading2"/>
      </w:pPr>
      <w:r>
        <w:t>2.6 更新规则族 𝒰</w:t>
      </w:r>
    </w:p>
    <w:p>
      <w:r>
        <w:t>本文拒绝把变化直接写成依赖连续时间 t 的演化方程，而用局域更新规则族 𝒰 来替代传统时间演化方程。一个更新规则记作 u:(s,ℛ)→(s′,ℛ′)，并满足局域性、约束保持或受控违背、可组合性以及一般不对易性。于是，“动力学”不再是系统在背景时间里流动，而是系统在允许规则族下发生局域改写，其改写序列本身构成后续时间性与因果性的候选前体。</w:t>
      </w:r>
    </w:p>
    <w:p>
      <w:pPr>
        <w:pStyle w:val="Heading2"/>
      </w:pPr>
      <w:r>
        <w:t>2.7 可观测量集合 𝒪</w:t>
      </w:r>
    </w:p>
    <w:p>
      <w:r>
        <w:t>可观测量定义为系统状态和关系上的函数族 Oα=Oα(s,ℛ)，包括局域读出量、中尺度结构量和全局统计量。需要强调的是，在母理论层面，可观测量首先是理论内部可被定义、比较、追踪的读出量；只有在后续桥梁建立后，其中一部分才可能与物理实验量建立映射。</w:t>
      </w:r>
    </w:p>
    <w:p>
      <w:pPr>
        <w:pStyle w:val="Heading2"/>
      </w:pPr>
      <w:r>
        <w:t>2.8 共享的最小前提</w:t>
      </w:r>
    </w:p>
    <w:p>
      <w:r>
        <w:t>在母理论候选中，“共享”不能被理解为一种悬浮于对象和关系之上的神秘第三实体。更准确地说，共享应被视为共同约束、共同可达、共同响应和共同不变量的组合。它把“共享”从模糊的总体论语言，压缩成了后续可以操作化的结构判据。</w:t>
      </w:r>
    </w:p>
    <w:p>
      <w:pPr>
        <w:pStyle w:val="Heading2"/>
      </w:pPr>
      <w:r>
        <w:t>2.9 最小对象表汇总</w:t>
      </w:r>
    </w:p>
    <w:p>
      <w:r>
        <w:t>综上，本文的母理论候选最小对象表可以汇总为 𝒮=(Ω,ℛ,Σ,𝒞,𝒰,𝒪)。这六个部分共同定义了 BNCFT 在母理论层面的最小候选框架。再往后的问题，不再是“能否继续讲哲学”，而是这些对象能否写成具体可算模型，这些关系是否可代数化，更新序列是否能出现近几何迹象，以及共享结构是否可兼容无信号相关。</w:t>
      </w:r>
    </w:p>
    <w:p>
      <w:pPr>
        <w:pStyle w:val="Heading2"/>
      </w:pPr>
      <w:r>
        <w:t>2.10 本节结论</w:t>
      </w:r>
    </w:p>
    <w:p>
      <w:r>
        <w:t>本文提出的母理论候选，不以连续场或连续时空为出发点，而以一个由对象、关系、状态、约束、更新与可观测量组成的离散关系系统为最小基本框架。在该框架中，“共享”不是预设介质，而是共同约束、共同可达、共同响应和共同不变量的结构性体现。</w:t>
      </w:r>
    </w:p>
    <w:p/>
    <w:p>
      <w:pPr>
        <w:pStyle w:val="Heading1"/>
      </w:pPr>
      <w:r>
        <w:t>3. 离散关系代数表述：关系矩阵、局域更新与可组合结构</w:t>
      </w:r>
    </w:p>
    <w:p>
      <w:pPr>
        <w:pStyle w:val="Heading2"/>
      </w:pPr>
      <w:r>
        <w:t>3.1 为什么必须进入代数表述</w:t>
      </w:r>
    </w:p>
    <w:p>
      <w:r>
        <w:t>若没有一个明确的代数表述，关系系统仍容易停留在概念性描述层，无法进入计算、证明与失败检验。因此，本节的目标是把上一节中的关系系统进一步压缩为一个离散关系代数框架。</w:t>
      </w:r>
    </w:p>
    <w:p>
      <w:pPr>
        <w:pStyle w:val="Heading2"/>
      </w:pPr>
      <w:r>
        <w:t>3.2 关系矩阵表示</w:t>
      </w:r>
    </w:p>
    <w:p>
      <w:r>
        <w:t>对有限对象集 Ω={1,2,…,N}，可将关系记录写成一个或若干矩阵 R(α)=(R(α)ij)，其中 α 标记关系类型。于是，整个关系系统可以由一组关系矩阵族 𝔏={R(α)} 来表述。一旦关系被写成矩阵或离散算符族，后续就自然出现交换子、联合谱、近似公共本征子空间以及低维主子空间等可检验问题。</w:t>
      </w:r>
    </w:p>
    <w:p>
      <w:pPr>
        <w:pStyle w:val="Heading2"/>
      </w:pPr>
      <w:r>
        <w:t>3.3 关系矩阵的物理含义</w:t>
      </w:r>
    </w:p>
    <w:p>
      <w:r>
        <w:t>R(α) 不应被简单理解为空间图的邻接矩阵。更准确地说，R(α)ij 记录的是对象 i,j 之间某类原初关系在当前状态下的取值或可用性。几何邻近只是未来可能从这些关系矩阵中读出的有效性质之一，而不是矩阵定义本身。</w:t>
      </w:r>
    </w:p>
    <w:p>
      <w:pPr>
        <w:pStyle w:val="Heading2"/>
      </w:pPr>
      <w:r>
        <w:t>3.4 关系代数 𝔄</w:t>
      </w:r>
    </w:p>
    <w:p>
      <w:r>
        <w:t>当有了矩阵族之后，就可以考虑由它们生成的代数结构，记为 𝔄=⟨R(α)|α∈I⟩。这里的代数至少应满足：可以做有限线性组合，可以做乘法复合，可以定义交换子，并可以讨论子代数、理想和近似封闭子集。这样，母理论的关系系统被进一步压缩成一个由有限个生成元和若干约束组成的关系代数系统。</w:t>
      </w:r>
    </w:p>
    <w:p>
      <w:pPr>
        <w:pStyle w:val="Heading2"/>
      </w:pPr>
      <w:r>
        <w:t>3.5 生成元的选择</w:t>
      </w:r>
    </w:p>
    <w:p>
      <w:r>
        <w:t>在 BNCFT 的主线 A 中，生成元的选择应尽量满足以下原则：少而不空、局域可解释、允许不对易以及适合有限维样板。A2“离散样板模型 I”最核心的任务之一，就是为这里的生成元选型给出第一套具体实现。</w:t>
      </w:r>
    </w:p>
    <w:p>
      <w:pPr>
        <w:pStyle w:val="Heading2"/>
      </w:pPr>
      <w:r>
        <w:t>3.6 近对易区</w:t>
      </w:r>
    </w:p>
    <w:p>
      <w:r>
        <w:t>不同生成元之间若在某些参数区、某些子空间或某些粗粒化层面表现为近对易，即 ‖[R(α),R(β)]‖≪1，则可能意味着存在近似共同本征结构、较稳定的联合谱以及可被几何化解释的趋势。但近对易区不等于几何已经出现，它只是一种几何迹象候选。</w:t>
      </w:r>
    </w:p>
    <w:p>
      <w:pPr>
        <w:pStyle w:val="Heading2"/>
      </w:pPr>
      <w:r>
        <w:t>3.7 联合谱与有效维数</w:t>
      </w:r>
    </w:p>
    <w:p>
      <w:r>
        <w:t>若若干关系生成元在某一区域近似可同时对角化，则它们的本征值分布、谱团簇结构和主子空间维数，就可能成为“有效维数”的候选读出来源。没有代数语言，四维、单度规、局域传播这些概念只能停留在解释层；进入关系代数框架后，它们才变成可判定问题。</w:t>
      </w:r>
    </w:p>
    <w:p>
      <w:pPr>
        <w:pStyle w:val="Heading2"/>
      </w:pPr>
      <w:r>
        <w:t>3.8 局域更新的代数表示</w:t>
      </w:r>
    </w:p>
    <w:p>
      <w:r>
        <w:t>这些更新也应尽可能被代数化，可把更新理解为对关系矩阵族的局域变换 uX:𝔏→𝔏′。这种写法的好处是：更新本身不再被视为外部“推动”，而被视为关系代数内部允许的结构改写。</w:t>
      </w:r>
    </w:p>
    <w:p>
      <w:pPr>
        <w:pStyle w:val="Heading2"/>
      </w:pPr>
      <w:r>
        <w:t>3.9 可组合结构</w:t>
      </w:r>
    </w:p>
    <w:p>
      <w:r>
        <w:t>一旦更新可代数化，就自然出现更新序列 uk∘⋯∘u1。所有允许的有限更新序列至少形成一个半群。这里的“先后”不是预设时间轴，而是更新之间的可接续关系。时间性的前体不是 t，而是受约束的更新路径结构。</w:t>
      </w:r>
    </w:p>
    <w:p>
      <w:pPr>
        <w:pStyle w:val="Heading2"/>
      </w:pPr>
      <w:r>
        <w:t>3.10 关系代数中的局域性</w:t>
      </w:r>
    </w:p>
    <w:p>
      <w:r>
        <w:t>在母理论层，我们还不能先依赖空间概念，因此局域性必须被重写为纯关系-代数概念：一个更新、一个读出或一个扰动若只依赖有限支撑集及其有限阶关系闭包，则称其为局域的。</w:t>
      </w:r>
    </w:p>
    <w:p>
      <w:pPr>
        <w:pStyle w:val="Heading2"/>
      </w:pPr>
      <w:r>
        <w:t>3.11 最小代数模板</w:t>
      </w:r>
    </w:p>
    <w:p>
      <w:pPr>
        <w:pStyle w:val="Heading2"/>
      </w:pPr>
      <w:r>
        <w:t>就第一批 toy model 而言，本文默认优先考虑有限维表示 N&lt;∞，并优先从实或复矩阵表示出发；如后续需要更强结构，可进一步限制到带自伴条件、带对称性或受约束集合 𝒞 限定的表示类。这样做的目的，不是提前锁死全部数学路线，而是避免通过任意增加生成元或任意放宽表示类，使近对易区与低维主子空间沦为平凡结果。</w:t>
      </w:r>
    </w:p>
    <w:p>
      <w:r>
        <w:t>为后续 A2 具体化，本文给出一个最小模板：设有限对象集 Ω={1,…,N}，取若干关系生成元 R(1),…,R(m)∈MN(𝔽)，施加局域约束、局域更新映射、约束保持条件以及交换子范数、谱、有效秩等候选读出。这个模板虽然粗，但已经足以承接下一篇样板模型文稿。</w:t>
      </w:r>
    </w:p>
    <w:p>
      <w:pPr>
        <w:pStyle w:val="Heading2"/>
      </w:pPr>
      <w:r>
        <w:t>3.12 本节结论</w:t>
      </w:r>
    </w:p>
    <w:p>
      <w:r>
        <w:t>本节把上一节的离散关系系统进一步压缩为一个关系代数框架：对象之间的原初关系被表示为一族关系矩阵或离散算符，进而生成一个可组合、可更新、可约束、可取交换子的有限代数系统。由此，BNCFT 的母理论候选不再只是“离散关系”的口头主张，而具备了进入有限维样板构造与后续桥梁验证的基本代数语言。</w:t>
      </w:r>
    </w:p>
    <w:p/>
    <w:p>
      <w:pPr>
        <w:pStyle w:val="Heading1"/>
      </w:pPr>
      <w:r>
        <w:t>4. 共享接口的严格定义：共同约束、共同可达与共同响应</w:t>
      </w:r>
    </w:p>
    <w:p>
      <w:pPr>
        <w:pStyle w:val="Heading2"/>
      </w:pPr>
      <w:r>
        <w:t>4.1 为什么“共享”必须被重新定义</w:t>
      </w:r>
    </w:p>
    <w:p>
      <w:r>
        <w:t>到目前为止，“共享”一词仍然只是一个方向性概念，还没有变成可以直接进入样板模型、无信号分析和几何验收的严格对象。它既不能被写成哲学性的“万物相关”，也不能被偷换成传统连续场论中“同一背景上的场分布”。它必须被重新压缩为一种接口概念：不是一种额外本体，而是一组可以在离散关系系统中被识别、被更新、被读取、被检验的结构条件。</w:t>
      </w:r>
    </w:p>
    <w:p>
      <w:pPr>
        <w:pStyle w:val="Heading2"/>
      </w:pPr>
      <w:r>
        <w:t>4.2 共享不是额外对象</w:t>
      </w:r>
    </w:p>
    <w:p>
      <w:r>
        <w:t>设 X,Y⊂Ω。在母理论层面，说“X 与 Y 共享某种结构”，并不意味着存在一个悬浮在 X 与 Y 之上的神秘第三物；更准确地说，它表示 X 与 Y 在关系、约束、更新和读出层面所满足的一组条件。共享首先是一种结构关系，而不是“介质名词”。</w:t>
      </w:r>
    </w:p>
    <w:p>
      <w:pPr>
        <w:pStyle w:val="Heading2"/>
      </w:pPr>
      <w:r>
        <w:t>4.3 共享接口的总定义</w:t>
      </w:r>
    </w:p>
    <w:p>
      <w:r>
        <w:t>本文把“共享接口”定义为如下判据族：若存在一组结构条件 𝕀share(X,Y)=(𝒞XY,𝒜XY,ℛXY,𝒥XY)，使得 X 与 Y 在约束、更新与读出层面满足非平凡的共同性，并且这种共同性可被理论内部的可观测量检验，则称 X 与 Y 之间存在一个共享接口。这里“接口”一词强调的不是“X 和 Y 本质上一体”，而是它们之间存在某种稳定而受限的联系界面。</w:t>
      </w:r>
    </w:p>
    <w:p>
      <w:pPr>
        <w:pStyle w:val="Heading2"/>
      </w:pPr>
      <w:r>
        <w:t>4.4 共同约束</w:t>
      </w:r>
    </w:p>
    <w:p>
      <w:r>
        <w:t>共同约束回答的是：X 与 Y 是否同时受某些同源约束支配，以至于它们不能被独立任意指定。若存在非空子集 𝒞XY⊂𝒞，使得这些约束同时作用于 X 与 Y 及其关联关系，则称 X 与 Y 具有共同约束结构。共同约束并不自动等于可传递信号；它只说明 X 与 Y 不是两块完全脱耦的系统。</w:t>
      </w:r>
    </w:p>
    <w:p>
      <w:pPr>
        <w:pStyle w:val="Heading2"/>
      </w:pPr>
      <w:r>
        <w:t>4.5 共同可达</w:t>
      </w:r>
    </w:p>
    <w:p>
      <w:r>
        <w:t>仅有共同约束还不够。有些系统虽然受同类约束，但在更新动力学上仍然几乎互不相干。因此，还需要第二层判据：共同可达。若存在一类更新路径，使得 X 的局域改写会改变 Y 的可达状态空间边界，或反过来，使得 X 与 Y 处在同一动态可达壳层内，则称它们具有共同可达结构。</w:t>
      </w:r>
    </w:p>
    <w:p>
      <w:pPr>
        <w:pStyle w:val="Heading2"/>
      </w:pPr>
      <w:r>
        <w:t>4.6 共同响应</w:t>
      </w:r>
    </w:p>
    <w:p>
      <w:r>
        <w:t>共同响应回答的是：当对 X 施加一个允许的局域改写时，Y 的某些读出量是否会以受规则约束的方式发生变化。即便 uX 会改变 OY，也不意味着操作者能通过自由选择 uX 的细节，把任意信息可靠编码到 Y 的边缘读出中。共同响应是共享接口的必要层之一，但其存在不能被直接解释为操作性传信。</w:t>
      </w:r>
    </w:p>
    <w:p>
      <w:pPr>
        <w:pStyle w:val="Heading2"/>
      </w:pPr>
      <w:r>
        <w:t>4.7 共同不变量与联合读出</w:t>
      </w:r>
    </w:p>
    <w:p>
      <w:r>
        <w:t>若存在定义在 X∪Y 上的组合读出量 JXY，它既不能单独归属于 X，也不能单独归属于 Y，并且在某类允许更新下保持不变或满足受控变换规律，则称 X,Y 之间存在共同不变量或联合读出结构。这能把共享从“某次响应巧合”提升为“长期结构”。</w:t>
      </w:r>
    </w:p>
    <w:p>
      <w:pPr>
        <w:pStyle w:val="Heading2"/>
      </w:pPr>
      <w:r>
        <w:t>4.8 共享强度不是二值</w:t>
      </w:r>
    </w:p>
    <w:p>
      <w:r>
        <w:t>更自然的做法是引入共享强度或共享等级概念，记为 Sh(X,Y)=(sC,sA,sR,sJ)，分别表示共同约束、共同可达、共同响应和共同不变量强度。这样可以区分弱共享与强共享，也为后续数值样板提供量化入口。</w:t>
      </w:r>
    </w:p>
    <w:p>
      <w:pPr>
        <w:pStyle w:val="Heading2"/>
      </w:pPr>
      <w:r>
        <w:t>4.9 什么不算共享</w:t>
      </w:r>
    </w:p>
    <w:p>
      <w:r>
        <w:t>纯统计巧合、标签重叠导致的伪共享、任意可调的全局耦合以及无遮拦的直接可控信号通道，都不应被称为 BNCFT 所需的合格共享接口。共享必须是“受限耦合”，而不是“什么相关都算共享”。</w:t>
      </w:r>
    </w:p>
    <w:p>
      <w:pPr>
        <w:pStyle w:val="Heading2"/>
      </w:pPr>
      <w:r>
        <w:t>4.11 最小形式模板与无信号性的最低代数要求</w:t>
      </w:r>
    </w:p>
    <w:p>
      <w:r>
        <w:t>连续共享场若有意义，只能是上述共享接口在几何相中的有效参数化结果。应采用如下层级关系：共享接口（离散）→共享结构网络→粗粒化有效变量→连续共享场（若存在）。这再次说明：连续共享场是结果层语言，不是母理论起点语言。</w:t>
      </w:r>
    </w:p>
    <w:p>
      <w:pPr/>
      <w:r>
        <w:t>在无信号接口尚未完成正式定理化之前，本文先给出一个最低代数要求：对任意允许的局域更新 u_X，远端子系统 Y 的允许边缘读出族不得出现对 X 端可控设置的自由依赖。也就是说，后续 A4 至少要把“相关结构可变而边缘读出不被任意编码”写成离散关系代数语言中的可检验条件。本文在此不完成该条件的证明，只把它明确登记为共享接口必须面对的技术槽口，以防“共享”被偷换为“可操作瞬时通信”。</w:t>
      </w:r>
    </w:p>
    <w:p>
      <w:pPr>
        <w:pStyle w:val="Heading2"/>
      </w:pPr>
      <w:r>
        <w:t>4.11 最小形式模板</w:t>
      </w:r>
    </w:p>
    <w:p>
      <w:r>
        <w:t>若 X,Y⊂Ω 之间存在共同约束、联合可达壳层、非平凡但受限的响应关系，以及定义在 X∪Y 上的联合读出量，则称 (X,Y) 之间具有一个共享接口。进一步地，若这些结构在参数扰动、有限规模变化或局域更新噪声下保持稳定，则称该共享接口是稳健共享接口；反之则只是脆弱共享接口。</w:t>
      </w:r>
    </w:p>
    <w:p>
      <w:pPr>
        <w:pStyle w:val="Heading2"/>
      </w:pPr>
      <w:r>
        <w:t>4.12 本节结论</w:t>
      </w:r>
    </w:p>
    <w:p>
      <w:r>
        <w:t>本节将“共享”从一般性口号压缩为一个严格的接口概念。共享不是额外本体，而是子系统之间通过关系代数、约束结构与局域更新规则形成的受限耦合模式。这样定义既保留了后续粗粒化为连续共享场的可能，又避免了在母理论层偷渡连续介质语言，并为后续 Bell 相关、无信号性和可操作因果性分析提供了操作化入口。</w:t>
      </w:r>
    </w:p>
    <w:p/>
    <w:p>
      <w:pPr>
        <w:pStyle w:val="Heading1"/>
      </w:pPr>
      <w:r>
        <w:t>5. 母理论层允许谈什么，不允许谈什么</w:t>
      </w:r>
    </w:p>
    <w:p>
      <w:pPr>
        <w:pStyle w:val="Heading2"/>
      </w:pPr>
      <w:r>
        <w:t>5.1 为什么必须单列这一节</w:t>
      </w:r>
    </w:p>
    <w:p>
      <w:r>
        <w:t>对一个坚持“无背景”立场的理论来说，最大的风险之一是层级混写。作者在口头上区分了母理论、桥梁模型、连续有效描述和现象学解释，但在实际写作时，又不断把高层对象回填到底层定义中。本节的任务就是建立一道明确边界：在母理论层，到底能谈什么，不能谈什么。</w:t>
      </w:r>
    </w:p>
    <w:p>
      <w:pPr>
        <w:pStyle w:val="Heading2"/>
      </w:pPr>
      <w:r>
        <w:t>5.2 母理论层允许谈的内容</w:t>
      </w:r>
    </w:p>
    <w:p>
      <w:r>
        <w:t>母理论层允许讨论不依赖预设连续背景、且能在有限维样板中直接实现或检验的对象：对象集合与关系结构；状态、约束与局域更新规则；内部可观测量与读出量；近对易、联合谱、有效维数候选；以及共享接口与无信号前提的形式准备。</w:t>
      </w:r>
    </w:p>
    <w:p>
      <w:pPr>
        <w:pStyle w:val="Heading2"/>
      </w:pPr>
      <w:r>
        <w:t>5.3 母理论层不允许谈的内容</w:t>
      </w:r>
    </w:p>
    <w:p>
      <w:r>
        <w:t>母理论层必须严格禁止如下写法：预设连续流形、坐标、度规、光锥和曲率；把连续共享场当作本体基本对象；把近几何迹象写成几何已成；把共享相关写成可操作信号；把连续接口模板写成母理论推出。</w:t>
      </w:r>
    </w:p>
    <w:p>
      <w:pPr>
        <w:pStyle w:val="Heading2"/>
      </w:pPr>
      <w:r>
        <w:t>5.4 四级表述体系</w:t>
      </w:r>
    </w:p>
    <w:p>
      <w:r>
        <w:t>后续统一使用四级表述体系：候选、迹象、匹配、推出/证明。其中“推出/证明”在主线 A 前期几乎不应使用，只有当桥梁条件全部完成并经稳健性审查后，才可谨慎进入。</w:t>
      </w:r>
    </w:p>
    <w:p>
      <w:pPr>
        <w:pStyle w:val="Heading2"/>
      </w:pPr>
      <w:r>
        <w:t>5.5 安全语言模板</w:t>
      </w:r>
    </w:p>
    <w:p>
      <w:r>
        <w:t>可以写“本文提出一个母理论候选”“该结构表现出近几何迹象”“在某些相条件下，与单度规 EFT 模板匹配为……”。不应写“本文已经建立了完整引力理论”“本文直接推出四维时空”“本文说明连续共享场就是宇宙的基本对象”等。</w:t>
      </w:r>
    </w:p>
    <w:p>
      <w:pPr>
        <w:pStyle w:val="Heading2"/>
      </w:pPr>
      <w:r>
        <w:t>5.6 本节结论</w:t>
      </w:r>
    </w:p>
    <w:p>
      <w:r>
        <w:t>母理论层的职责是提供无背景的离散出发点和可失败的桥梁基础，而不是提前宣布高层连续理论已经被严格推出。</w:t>
      </w:r>
    </w:p>
    <w:p/>
    <w:p>
      <w:pPr>
        <w:pStyle w:val="Heading1"/>
      </w:pPr>
      <w:r>
        <w:t>6. 可观测量、粗粒化方向与桥梁目标</w:t>
      </w:r>
    </w:p>
    <w:p>
      <w:pPr>
        <w:pStyle w:val="Heading2"/>
      </w:pPr>
      <w:r>
        <w:t>6.1 为什么要提前讨论这一节</w:t>
      </w:r>
    </w:p>
    <w:p>
      <w:r>
        <w:t>如果只停留在定义层，主线 A 仍然缺少关键部分：这些底层结构究竟要朝哪里去。因此，本节把母理论篇从“定义文”推进为“施工文”，说明底层读出量、粗粒化方向与桥梁目标的关系。</w:t>
      </w:r>
    </w:p>
    <w:p>
      <w:pPr>
        <w:pStyle w:val="Heading2"/>
      </w:pPr>
      <w:r>
        <w:t>6.2 可观测量的三层分类</w:t>
      </w:r>
    </w:p>
    <w:p>
      <w:r>
        <w:t>可观测量首先分为三层：局域读出量（如局域关系度数、局域响应幅度、局域交换子范数），中尺度结构量（如子系统联合谱、有效秩、传播代价、有限步可达壳层厚度），以及全局统计量（如 rank-4 出现频率、病态区比例、多探针读出一致性比例）。</w:t>
      </w:r>
    </w:p>
    <w:p>
      <w:pPr>
        <w:pStyle w:val="Heading2"/>
      </w:pPr>
      <w:r>
        <w:t>6.3 为什么它们先是内部读出量</w:t>
      </w:r>
    </w:p>
    <w:p>
      <w:r>
        <w:t>在离散关系系统与物理实验量之间，还隔着粗粒化、有效变量读出、操作层定义与连续接口匹配等多个环节。因此，母理论层的可观测量首先是桥梁前的内部验收读出量，而不是直接对应实验仪器上的量。</w:t>
      </w:r>
    </w:p>
    <w:p>
      <w:pPr>
        <w:pStyle w:val="Heading2"/>
      </w:pPr>
      <w:r>
        <w:t>6.4 粗粒化的必要性</w:t>
      </w:r>
    </w:p>
    <w:p>
      <w:r>
        <w:t>高层连续对象若存在，几乎不可能以“一步到位”的方式直接出现。更合理的路径应是：离散关系系统 → 可追踪内部读出 → 粗粒化有效变量 → 连续接口候选。没有粗粒化，就无法区分“细节依赖伪结构”和“真正稳健的有效结构”。</w:t>
      </w:r>
    </w:p>
    <w:p>
      <w:pPr>
        <w:pStyle w:val="Heading2"/>
      </w:pPr>
      <w:r>
        <w:t>6.5 可能的粗粒化方向</w:t>
      </w:r>
    </w:p>
    <w:p>
      <w:r>
        <w:t>至少存在以下几类粗粒化方向：关系块粗粒化、谱粗粒化、更新路径粗粒化、共享接口粗粒化以及多探针一致粗粒化。这些方向为未来“连续共享场”语言是否成立提供了前提。</w:t>
      </w:r>
    </w:p>
    <w:p>
      <w:pPr>
        <w:pStyle w:val="Heading2"/>
      </w:pPr>
      <w:r>
        <w:t>主线 A 输出的不是连续理论本身，而是稳健几何相候选、rank-4 典型区、无信号共享接口、单度规读出迹象以及普适耦合和守恒前体。主线 B 承接的是这些输出的连续模板化表达，而不是反过来重新定义底层本体。因此，原连续 v0.1 中的连续共享场变量、单度规 EFT 语言及其相关接口对象，都应被重新理解为：仅当离散关系系统在某些相条件下出现稳健的近对易主子空间、共享接口粗粒化和多探针一致读出时，才允许引入的有效参数化变量，而不再是母理论层的基本对象。</w:t>
      </w:r>
    </w:p>
    <w:p>
      <w:r>
        <w:t>主线 A 的桥梁目标应写成五类中间验收目标：有效维数桥梁、传播与局域性桥梁、无信号共享桥梁、单度规读出桥梁以及普适耦合/守恒桥梁。只有这些目标取得阶段性通过，主线 B 的连续有效接口库才具有被严肃讨论的资格。</w:t>
      </w:r>
    </w:p>
    <w:p>
      <w:pPr>
        <w:pStyle w:val="Heading2"/>
      </w:pPr>
      <w:r>
        <w:t>建议在 A2-A5 中统一使用桥梁读出表，把维数桥梁、局域性桥梁、无信号桥梁、单度规桥梁和普适耦合桥梁分别对应到底层读出量、中间判据和高层目标模板上。为保持与下游编目的连续性，本文同时预留一个示意性对接口径：未来第三编中的几何化代理量可视为“有效维数桥梁”和“局域性桥梁”的候选下游实现，而第四编中的传播代价、响应时间与守恒样变量，则可视为“局域响应”“共享接口读出”和“普适耦合桥梁”的候选接口量。这里的对接只作方向说明，不改变母理论层的抽象优先级。</w:t>
      </w:r>
    </w:p>
    <w:p>
      <w:r>
        <w:t>主线 A 输出的不是连续理论本身，而是稳健几何相候选、rank-4 典型区、无信号共享接口、单度规读出迹象以及普适耦合和守恒前体。主线 B 承接的是这些输出的连续模板化表达，而不是反过来重新定义底层本体。</w:t>
      </w:r>
    </w:p>
    <w:p>
      <w:pPr>
        <w:pStyle w:val="Heading2"/>
      </w:pPr>
      <w:r>
        <w:t>6.8 建议的桥梁读出表</w:t>
      </w:r>
    </w:p>
    <w:p>
      <w:r>
        <w:t>建议在 A2-A5 中统一使用桥梁读出表，把维数桥梁、局域性桥梁、无信号桥梁、单度规桥梁和普适耦合桥梁分别对应到底层读出量、中间判据和高层目标模板上。</w:t>
      </w:r>
    </w:p>
    <w:p>
      <w:pPr>
        <w:pStyle w:val="Heading2"/>
      </w:pPr>
      <w:r>
        <w:t>6.9 本节结论</w:t>
      </w:r>
    </w:p>
    <w:p>
      <w:r>
        <w:t>主线 A 的桥梁目标应被明确写为有效维数、传播局域性、无信号共享、单度规读出与普适耦合五类验收目标；主线 B 只能在这些桥梁通过后，作为连续有效模板加以承接。</w:t>
      </w:r>
    </w:p>
    <w:p>
      <w:pPr>
        <w:pStyle w:val="Heading2"/>
      </w:pPr>
      <w:r>
        <w:t>桥梁读出表</w:t>
      </w:r>
    </w:p>
    <w:tbl>
      <w:tblPr>
        <w:tblStyle w:val="TableGrid"/>
        <w:tblW w:type="auto" w:w="0"/>
        <w:jc w:val="center"/>
        <w:tblLook w:firstColumn="1" w:firstRow="1" w:lastColumn="0" w:lastRow="0" w:noHBand="0" w:noVBand="1" w:val="04A0"/>
      </w:tblPr>
      <w:tblGrid>
        <w:gridCol w:w="2380"/>
        <w:gridCol w:w="2380"/>
        <w:gridCol w:w="2380"/>
        <w:gridCol w:w="2380"/>
      </w:tblGrid>
      <w:tr>
        <w:tc>
          <w:tcPr>
            <w:tcW w:type="dxa" w:w="2380"/>
            <w:shd w:fill="D9EAF7"/>
            <w:tcMar>
              <w:top w:w="100" w:type="dxa"/>
              <w:start w:w="120" w:type="dxa"/>
              <w:bottom w:w="100" w:type="dxa"/>
              <w:end w:w="120" w:type="dxa"/>
            </w:tcMar>
            <w:vAlign w:val="center"/>
          </w:tcPr>
          <w:p>
            <w:pPr>
              <w:jc w:val="center"/>
            </w:pPr>
            <w:r>
              <w:rPr>
                <w:b/>
              </w:rPr>
              <w:t>桥梁类别</w:t>
            </w:r>
          </w:p>
        </w:tc>
        <w:tc>
          <w:tcPr>
            <w:tcW w:type="dxa" w:w="2380"/>
            <w:shd w:fill="D9EAF7"/>
            <w:tcMar>
              <w:top w:w="100" w:type="dxa"/>
              <w:start w:w="120" w:type="dxa"/>
              <w:bottom w:w="100" w:type="dxa"/>
              <w:end w:w="120" w:type="dxa"/>
            </w:tcMar>
            <w:vAlign w:val="center"/>
          </w:tcPr>
          <w:p>
            <w:pPr>
              <w:jc w:val="center"/>
            </w:pPr>
            <w:r>
              <w:rPr>
                <w:b/>
              </w:rPr>
              <w:t>底层读出量</w:t>
            </w:r>
          </w:p>
        </w:tc>
        <w:tc>
          <w:tcPr>
            <w:tcW w:type="dxa" w:w="2380"/>
            <w:shd w:fill="D9EAF7"/>
            <w:tcMar>
              <w:top w:w="100" w:type="dxa"/>
              <w:start w:w="120" w:type="dxa"/>
              <w:bottom w:w="100" w:type="dxa"/>
              <w:end w:w="120" w:type="dxa"/>
            </w:tcMar>
            <w:vAlign w:val="center"/>
          </w:tcPr>
          <w:p>
            <w:pPr>
              <w:jc w:val="center"/>
            </w:pPr>
            <w:r>
              <w:rPr>
                <w:b/>
              </w:rPr>
              <w:t>中间判据</w:t>
            </w:r>
          </w:p>
        </w:tc>
        <w:tc>
          <w:tcPr>
            <w:tcW w:type="dxa" w:w="2380"/>
            <w:shd w:fill="D9EAF7"/>
            <w:tcMar>
              <w:top w:w="100" w:type="dxa"/>
              <w:start w:w="120" w:type="dxa"/>
              <w:bottom w:w="100" w:type="dxa"/>
              <w:end w:w="120" w:type="dxa"/>
            </w:tcMar>
            <w:vAlign w:val="center"/>
          </w:tcPr>
          <w:p>
            <w:pPr>
              <w:jc w:val="center"/>
            </w:pPr>
            <w:r>
              <w:rPr>
                <w:b/>
              </w:rPr>
              <w:t>高层目标模板</w:t>
            </w:r>
          </w:p>
        </w:tc>
      </w:tr>
      <w:tr>
        <w:tc>
          <w:tcPr>
            <w:tcW w:type="dxa" w:w="2380"/>
            <w:tcMar>
              <w:top w:w="100" w:type="dxa"/>
              <w:start w:w="120" w:type="dxa"/>
              <w:bottom w:w="100" w:type="dxa"/>
              <w:end w:w="120" w:type="dxa"/>
            </w:tcMar>
            <w:vAlign w:val="center"/>
          </w:tcPr>
          <w:p>
            <w:pPr>
              <w:spacing w:after="0" w:before="0"/>
            </w:pPr>
            <w:r>
              <w:t>维数桥梁</w:t>
            </w:r>
          </w:p>
        </w:tc>
        <w:tc>
          <w:tcPr>
            <w:tcW w:type="dxa" w:w="2380"/>
            <w:tcMar>
              <w:top w:w="100" w:type="dxa"/>
              <w:start w:w="120" w:type="dxa"/>
              <w:bottom w:w="100" w:type="dxa"/>
              <w:end w:w="120" w:type="dxa"/>
            </w:tcMar>
            <w:vAlign w:val="center"/>
          </w:tcPr>
          <w:p>
            <w:pPr>
              <w:spacing w:after="0" w:before="0"/>
            </w:pPr>
            <w:r>
              <w:t>有效秩、谱间隙、联合谱平台</w:t>
            </w:r>
          </w:p>
        </w:tc>
        <w:tc>
          <w:tcPr>
            <w:tcW w:type="dxa" w:w="2380"/>
            <w:tcMar>
              <w:top w:w="100" w:type="dxa"/>
              <w:start w:w="120" w:type="dxa"/>
              <w:bottom w:w="100" w:type="dxa"/>
              <w:end w:w="120" w:type="dxa"/>
            </w:tcMar>
            <w:vAlign w:val="center"/>
          </w:tcPr>
          <w:p>
            <w:pPr>
              <w:spacing w:after="0" w:before="0"/>
            </w:pPr>
            <w:r>
              <w:t>rank-4 稳健性</w:t>
            </w:r>
          </w:p>
        </w:tc>
        <w:tc>
          <w:tcPr>
            <w:tcW w:type="dxa" w:w="2380"/>
            <w:tcMar>
              <w:top w:w="100" w:type="dxa"/>
              <w:start w:w="120" w:type="dxa"/>
              <w:bottom w:w="100" w:type="dxa"/>
              <w:end w:w="120" w:type="dxa"/>
            </w:tcMar>
            <w:vAlign w:val="center"/>
          </w:tcPr>
          <w:p>
            <w:pPr>
              <w:spacing w:after="0" w:before="0"/>
            </w:pPr>
            <w:r>
              <w:t>四维型有效几何</w:t>
            </w:r>
          </w:p>
        </w:tc>
      </w:tr>
      <w:tr>
        <w:tc>
          <w:tcPr>
            <w:tcW w:type="dxa" w:w="2380"/>
            <w:tcMar>
              <w:top w:w="100" w:type="dxa"/>
              <w:start w:w="120" w:type="dxa"/>
              <w:bottom w:w="100" w:type="dxa"/>
              <w:end w:w="120" w:type="dxa"/>
            </w:tcMar>
            <w:vAlign w:val="center"/>
          </w:tcPr>
          <w:p>
            <w:pPr>
              <w:spacing w:after="0" w:before="0"/>
            </w:pPr>
            <w:r>
              <w:t>局域性桥梁</w:t>
            </w:r>
          </w:p>
        </w:tc>
        <w:tc>
          <w:tcPr>
            <w:tcW w:type="dxa" w:w="2380"/>
            <w:tcMar>
              <w:top w:w="100" w:type="dxa"/>
              <w:start w:w="120" w:type="dxa"/>
              <w:bottom w:w="100" w:type="dxa"/>
              <w:end w:w="120" w:type="dxa"/>
            </w:tcMar>
            <w:vAlign w:val="center"/>
          </w:tcPr>
          <w:p>
            <w:pPr>
              <w:spacing w:after="0" w:before="0"/>
            </w:pPr>
            <w:r>
              <w:t>局域响应、传播代价、可达壳层</w:t>
            </w:r>
          </w:p>
        </w:tc>
        <w:tc>
          <w:tcPr>
            <w:tcW w:type="dxa" w:w="2380"/>
            <w:tcMar>
              <w:top w:w="100" w:type="dxa"/>
              <w:start w:w="120" w:type="dxa"/>
              <w:bottom w:w="100" w:type="dxa"/>
              <w:end w:w="120" w:type="dxa"/>
            </w:tcMar>
            <w:vAlign w:val="center"/>
          </w:tcPr>
          <w:p>
            <w:pPr>
              <w:spacing w:after="0" w:before="0"/>
            </w:pPr>
            <w:r>
              <w:t>有限传播层级</w:t>
            </w:r>
          </w:p>
        </w:tc>
        <w:tc>
          <w:tcPr>
            <w:tcW w:type="dxa" w:w="2380"/>
            <w:tcMar>
              <w:top w:w="100" w:type="dxa"/>
              <w:start w:w="120" w:type="dxa"/>
              <w:bottom w:w="100" w:type="dxa"/>
              <w:end w:w="120" w:type="dxa"/>
            </w:tcMar>
            <w:vAlign w:val="center"/>
          </w:tcPr>
          <w:p>
            <w:pPr>
              <w:spacing w:after="0" w:before="0"/>
            </w:pPr>
            <w:r>
              <w:t>有效局域传播</w:t>
            </w:r>
          </w:p>
        </w:tc>
      </w:tr>
      <w:tr>
        <w:tc>
          <w:tcPr>
            <w:tcW w:type="dxa" w:w="2380"/>
            <w:tcMar>
              <w:top w:w="100" w:type="dxa"/>
              <w:start w:w="120" w:type="dxa"/>
              <w:bottom w:w="100" w:type="dxa"/>
              <w:end w:w="120" w:type="dxa"/>
            </w:tcMar>
            <w:vAlign w:val="center"/>
          </w:tcPr>
          <w:p>
            <w:pPr>
              <w:spacing w:after="0" w:before="0"/>
            </w:pPr>
            <w:r>
              <w:t>无信号桥梁</w:t>
            </w:r>
          </w:p>
        </w:tc>
        <w:tc>
          <w:tcPr>
            <w:tcW w:type="dxa" w:w="2380"/>
            <w:tcMar>
              <w:top w:w="100" w:type="dxa"/>
              <w:start w:w="120" w:type="dxa"/>
              <w:bottom w:w="100" w:type="dxa"/>
              <w:end w:w="120" w:type="dxa"/>
            </w:tcMar>
            <w:vAlign w:val="center"/>
          </w:tcPr>
          <w:p>
            <w:pPr>
              <w:spacing w:after="0" w:before="0"/>
            </w:pPr>
            <w:r>
              <w:t>边缘读出稳定性、联合相关增强</w:t>
            </w:r>
          </w:p>
        </w:tc>
        <w:tc>
          <w:tcPr>
            <w:tcW w:type="dxa" w:w="2380"/>
            <w:tcMar>
              <w:top w:w="100" w:type="dxa"/>
              <w:start w:w="120" w:type="dxa"/>
              <w:bottom w:w="100" w:type="dxa"/>
              <w:end w:w="120" w:type="dxa"/>
            </w:tcMar>
            <w:vAlign w:val="center"/>
          </w:tcPr>
          <w:p>
            <w:pPr>
              <w:spacing w:after="0" w:before="0"/>
            </w:pPr>
            <w:r>
              <w:t>相关但不可通信</w:t>
            </w:r>
          </w:p>
        </w:tc>
        <w:tc>
          <w:tcPr>
            <w:tcW w:type="dxa" w:w="2380"/>
            <w:tcMar>
              <w:top w:w="100" w:type="dxa"/>
              <w:start w:w="120" w:type="dxa"/>
              <w:bottom w:w="100" w:type="dxa"/>
              <w:end w:w="120" w:type="dxa"/>
            </w:tcMar>
            <w:vAlign w:val="center"/>
          </w:tcPr>
          <w:p>
            <w:pPr>
              <w:spacing w:after="0" w:before="0"/>
            </w:pPr>
            <w:r>
              <w:t>Bell/无信号接口</w:t>
            </w:r>
          </w:p>
        </w:tc>
      </w:tr>
      <w:tr>
        <w:tc>
          <w:tcPr>
            <w:tcW w:type="dxa" w:w="2380"/>
            <w:tcMar>
              <w:top w:w="100" w:type="dxa"/>
              <w:start w:w="120" w:type="dxa"/>
              <w:bottom w:w="100" w:type="dxa"/>
              <w:end w:w="120" w:type="dxa"/>
            </w:tcMar>
            <w:vAlign w:val="center"/>
          </w:tcPr>
          <w:p>
            <w:pPr>
              <w:spacing w:after="0" w:before="0"/>
            </w:pPr>
            <w:r>
              <w:t>单度规桥梁</w:t>
            </w:r>
          </w:p>
        </w:tc>
        <w:tc>
          <w:tcPr>
            <w:tcW w:type="dxa" w:w="2380"/>
            <w:tcMar>
              <w:top w:w="100" w:type="dxa"/>
              <w:start w:w="120" w:type="dxa"/>
              <w:bottom w:w="100" w:type="dxa"/>
              <w:end w:w="120" w:type="dxa"/>
            </w:tcMar>
            <w:vAlign w:val="center"/>
          </w:tcPr>
          <w:p>
            <w:pPr>
              <w:spacing w:after="0" w:before="0"/>
            </w:pPr>
            <w:r>
              <w:t>多探针读出一致性</w:t>
            </w:r>
          </w:p>
        </w:tc>
        <w:tc>
          <w:tcPr>
            <w:tcW w:type="dxa" w:w="2380"/>
            <w:tcMar>
              <w:top w:w="100" w:type="dxa"/>
              <w:start w:w="120" w:type="dxa"/>
              <w:bottom w:w="100" w:type="dxa"/>
              <w:end w:w="120" w:type="dxa"/>
            </w:tcMar>
            <w:vAlign w:val="center"/>
          </w:tcPr>
          <w:p>
            <w:pPr>
              <w:spacing w:after="0" w:before="0"/>
            </w:pPr>
            <w:r>
              <w:t>主结构唯一性</w:t>
            </w:r>
          </w:p>
        </w:tc>
        <w:tc>
          <w:tcPr>
            <w:tcW w:type="dxa" w:w="2380"/>
            <w:tcMar>
              <w:top w:w="100" w:type="dxa"/>
              <w:start w:w="120" w:type="dxa"/>
              <w:bottom w:w="100" w:type="dxa"/>
              <w:end w:w="120" w:type="dxa"/>
            </w:tcMar>
            <w:vAlign w:val="center"/>
          </w:tcPr>
          <w:p>
            <w:pPr>
              <w:spacing w:after="0" w:before="0"/>
            </w:pPr>
            <w:r>
              <w:t>单度规 EFT 模板</w:t>
            </w:r>
          </w:p>
        </w:tc>
      </w:tr>
      <w:tr>
        <w:tc>
          <w:tcPr>
            <w:tcW w:type="dxa" w:w="2380"/>
            <w:tcMar>
              <w:top w:w="100" w:type="dxa"/>
              <w:start w:w="120" w:type="dxa"/>
              <w:bottom w:w="100" w:type="dxa"/>
              <w:end w:w="120" w:type="dxa"/>
            </w:tcMar>
            <w:vAlign w:val="center"/>
          </w:tcPr>
          <w:p>
            <w:pPr>
              <w:spacing w:after="0" w:before="0"/>
            </w:pPr>
            <w:r>
              <w:t>普适耦合桥梁</w:t>
            </w:r>
          </w:p>
        </w:tc>
        <w:tc>
          <w:tcPr>
            <w:tcW w:type="dxa" w:w="2380"/>
            <w:tcMar>
              <w:top w:w="100" w:type="dxa"/>
              <w:start w:w="120" w:type="dxa"/>
              <w:bottom w:w="100" w:type="dxa"/>
              <w:end w:w="120" w:type="dxa"/>
            </w:tcMar>
            <w:vAlign w:val="center"/>
          </w:tcPr>
          <w:p>
            <w:pPr>
              <w:spacing w:after="0" w:before="0"/>
            </w:pPr>
            <w:r>
              <w:t>联合不变量、守恒样量</w:t>
            </w:r>
          </w:p>
        </w:tc>
        <w:tc>
          <w:tcPr>
            <w:tcW w:type="dxa" w:w="2380"/>
            <w:tcMar>
              <w:top w:w="100" w:type="dxa"/>
              <w:start w:w="120" w:type="dxa"/>
              <w:bottom w:w="100" w:type="dxa"/>
              <w:end w:w="120" w:type="dxa"/>
            </w:tcMar>
            <w:vAlign w:val="center"/>
          </w:tcPr>
          <w:p>
            <w:pPr>
              <w:spacing w:after="0" w:before="0"/>
            </w:pPr>
            <w:r>
              <w:t>多激发一致耦合</w:t>
            </w:r>
          </w:p>
        </w:tc>
        <w:tc>
          <w:tcPr>
            <w:tcW w:type="dxa" w:w="2380"/>
            <w:tcMar>
              <w:top w:w="100" w:type="dxa"/>
              <w:start w:w="120" w:type="dxa"/>
              <w:bottom w:w="100" w:type="dxa"/>
              <w:end w:w="120" w:type="dxa"/>
            </w:tcMar>
            <w:vAlign w:val="center"/>
          </w:tcPr>
          <w:p>
            <w:pPr>
              <w:spacing w:after="0" w:before="0"/>
            </w:pPr>
            <w:r>
              <w:t>GR/物质接口候选</w:t>
            </w:r>
          </w:p>
        </w:tc>
      </w:tr>
    </w:tbl>
    <w:p/>
    <w:p>
      <w:pPr>
        <w:pStyle w:val="Heading1"/>
      </w:pPr>
      <w:r>
        <w:t>7. 失败判据、回退机制与后续样板要求</w:t>
      </w:r>
    </w:p>
    <w:p>
      <w:pPr>
        <w:pStyle w:val="Heading2"/>
      </w:pPr>
      <w:r>
        <w:t>7.1 为什么必须把“失败”写进正文</w:t>
      </w:r>
    </w:p>
    <w:p>
      <w:r>
        <w:t>一个真正可审查的理论工程，不能只写“如果成功会怎样”，还必须明确写出“在什么情况下应判失败”。失败不是附录内容，而是母理论候选的正式组成部分。只有先承认理论可能失败，后续的样板模型和桥梁验收才有公信力。</w:t>
      </w:r>
    </w:p>
    <w:p>
      <w:pPr>
        <w:pStyle w:val="Heading2"/>
      </w:pPr>
      <w:r>
        <w:t>7.2 一级失败：对象层失败</w:t>
      </w:r>
    </w:p>
    <w:p>
      <w:r>
        <w:t>若六元组定义不闭合，或“共享”仍只是口号，或更新规则无法局域化，或内部读出量无法定义，则应判为对象层失败。一级失败一旦出现，主线应停止在概念重构层，不得继续扩展连续接口。</w:t>
      </w:r>
    </w:p>
    <w:p>
      <w:pPr>
        <w:pStyle w:val="Heading2"/>
      </w:pPr>
      <w:r>
        <w:t>7.3 二级失败：样板可计算性失败</w:t>
      </w:r>
    </w:p>
    <w:p>
      <w:r>
        <w:t>若理论不能给出有限维 toy model，或所有结果都依赖极细调参且不可复核，或关系代数结构过度任意，或更新与约束无法同时实现，则判为样板可计算性失败。</w:t>
      </w:r>
    </w:p>
    <w:p>
      <w:pPr>
        <w:pStyle w:val="Heading2"/>
      </w:pPr>
      <w:r>
        <w:t>7.4 三级失败：维数桥梁失败</w:t>
      </w:r>
    </w:p>
    <w:p>
      <w:r>
        <w:t>若不存在稳定的 rank-4 候选区，或病态区占主导，或不同维数读出彼此矛盾，则不能宣称已有四维几何迹象。三级失败一旦成立，主线 B 中所有连续四维模板都必须降级为外部参照。</w:t>
      </w:r>
    </w:p>
    <w:p>
      <w:pPr>
        <w:pStyle w:val="Heading2"/>
      </w:pPr>
      <w:r>
        <w:t>7.5 四级失败：无信号共享桥梁失败</w:t>
      </w:r>
    </w:p>
    <w:p>
      <w:r>
        <w:t>若共享接口无法产生非平凡相关，或一旦产生强相关就出现可操作超距传信，或“无信号”只能靠事后调参取消，则判为无信号共享桥梁失败。此时，BNCFT 关于 Bell 相关、纠缠接口等所有表述都必须退回到“未解决问题”。</w:t>
      </w:r>
    </w:p>
    <w:p>
      <w:pPr>
        <w:pStyle w:val="Heading2"/>
      </w:pPr>
      <w:r>
        <w:t>7.6 五级失败：单度规读出失败</w:t>
      </w:r>
    </w:p>
    <w:p>
      <w:r>
        <w:t>若不同探针读取到不同主几何，或单度规只在极特殊探针下成立，或几何读出对局域扰动极不稳健，则判为单度规读出失败。五级失败意味着，主线 B 中“GR 接口：单度规、Ward 恒等式与诱导引力”只能继续作为目标模板。</w:t>
      </w:r>
    </w:p>
    <w:p>
      <w:pPr>
        <w:pStyle w:val="Heading2"/>
      </w:pPr>
      <w:r>
        <w:t>7.7 六级失败：普适耦合与守恒桥梁失败</w:t>
      </w:r>
    </w:p>
    <w:p>
      <w:r>
        <w:t>若不同激发耦合到不同背景变量，或无稳定守恒样结构，或物质接口完全靠外加规则拼接，则判为普适耦合与守恒桥梁失败。此时，BNCFT 仍不能声称已具备统一性结构，只能暂时停留在“几何相候选理论”。</w:t>
      </w:r>
    </w:p>
    <w:p>
      <w:pPr>
        <w:pStyle w:val="Heading2"/>
      </w:pPr>
      <w:r>
        <w:t>A2 及后续样板文稿至少应满足：必须有限维、可运行；必须同时展示成功区与失败区；必须做扰动稳健性测试；必须区分“迹象”与“推出”；必须为 A3-A5 留出 rank-4 筛选、无信号共享检验和单度规一致性检验的接口。更具体地说，一个合格的 A2 样板模型应能通过参数扫描同时展示：避免三级失败的 rank-4 稳健区、触发三级失败的病态主导区，以及为四级失败（无信号共享桥梁失败）提供可检验的操作框架入口。</w:t>
      </w:r>
    </w:p>
    <w:p>
      <w:r>
        <w:t>本文建议：一级失败回退到 A1 概念重构层；二级失败回退到 A2 样板设计层；三级失败暂停所有连续四维接口扩写；四级失败暂停 Bell/量子现象解释稿件；五级失败暂停 GR 接口推进；六级失败暂停统一性表述，只保留“局部几何相候选”定位。失败后应回到最后一个仍然稳固的层级，而不是绕过去继续向前写。</w:t>
      </w:r>
    </w:p>
    <w:p>
      <w:pPr>
        <w:pStyle w:val="Heading2"/>
      </w:pPr>
      <w:r>
        <w:t>7.9 对后续样板模型的最低要求</w:t>
      </w:r>
    </w:p>
    <w:p>
      <w:pPr>
        <w:pStyle w:val="Heading2"/>
      </w:pPr>
      <w:r>
        <w:t>为避免本文停留在纯定义层，后续样板将至少检验以下最小命题草案：其一，若关系生成元族在某参数区形成稳健近对易主子空间，则可定义有效维数候选读出；其二，若共享接口在共同约束与共同可达层同时稳定，且远端边缘读出保持，则该结构可作为无信号共享候选；其三，若不同探针在粗粒化后收敛到一致主结构，则该相可进入单度规候选验收。本文不在此处完成证明，但将其作为 A2-A5 的直接裁决目标。</w:t>
      </w:r>
    </w:p>
    <w:p>
      <w:r>
        <w:t>A2 及后续样板文稿至少应满足：必须有限维、可运行；必须同时展示成功区与失败区；必须做扰动稳健性测试；必须区分“迹象”与“推出”；必须为 A3-A5 留出 rank-4 筛选、无信号共享检验和单度规一致性检验的接口。</w:t>
      </w:r>
    </w:p>
    <w:p>
      <w:pPr>
        <w:pStyle w:val="Heading2"/>
      </w:pPr>
      <w:r>
        <w:t>7.10 本节结论</w:t>
      </w:r>
    </w:p>
    <w:p>
      <w:r>
        <w:t>一个合格的 BNCFT 母理论候选，必须把失败判据正式写入正文，并配套回退机制与样板要求。由此，A1 这篇文稿的作用才真正完成：它不仅给出母理论候选的最小对象、关系代数和共享接口，也给出整条主线 A 的裁决规则、桥梁目标与失败回退机制。</w:t>
      </w:r>
    </w:p>
    <w:p/>
    <w:p>
      <w:pPr>
        <w:pStyle w:val="Heading1"/>
      </w:pPr>
      <w:r>
        <w:t>结语</w:t>
      </w:r>
    </w:p>
    <w:p>
      <w:pPr>
        <w:pStyle w:val="Heading2"/>
      </w:pPr>
      <w:r>
        <w:t>总收束</w:t>
      </w:r>
    </w:p>
    <w:p>
      <w:r>
        <w:t>至此，本文已完成 BNCFT 主线 A 起点文稿所必须承担的核心任务：一方面，它把母理论候选明确定位为无背景的离散关系系统及其关系代数结构，而非连续共享场；另一方面，它把“共享”从一般性口号压缩为共同约束、共同可达、共同响应和共同不变量四层接口结构，并进一步划定了母理论层可说与不可说的边界、桥梁读出方向、粗粒化目标、失败判据与回退机制。因而，本文的结论不是“BNCFT 已推出高层物理理论”，而是更为严格和有限的一句：BNCFT 若要成立，其主线必须首先通过一套离散、无背景、可计算、可失败的桥梁验证。下一步最优先的任务，不是扩写黑洞、宇宙学或现象学接口，而是进入《BNCFT 离散样板模型 I：近对易区、联合谱与有效维数》，把本文提出的对象、关系、约束、共享接口与桥梁读出真正落到一个有限维 toy model 上接受裁决。</w:t>
      </w:r>
    </w:p>
    <w:p/>
    <w:sectPr w:rsidR="00FC693F" w:rsidRPr="0006063C" w:rsidSect="00034616">
      <w:footerReference w:type="default" r:id="rId9"/>
      <w:pgSz w:w="12240" w:h="15840"/>
      <w:pgMar w:top="1247" w:right="1247"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宋体"/>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宋体"/>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宋体"/>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