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BNCFT</w:t>
      </w:r>
    </w:p>
    <w:p>
      <w:pPr>
        <w:spacing w:before="360"/>
        <w:jc w:val="center"/>
      </w:pPr>
      <w:r>
        <w:rPr>
          <w:b/>
          <w:sz w:val="40"/>
        </w:rPr>
        <w:t>BNCFT Mother-Theory Candidate: Discrete Relational Algebra and Shared Interfaces</w:t>
      </w:r>
    </w:p>
    <w:p>
      <w:pPr>
        <w:spacing w:before="200"/>
        <w:jc w:val="center"/>
      </w:pPr>
      <w:r>
        <w:rPr>
          <w:i/>
          <w:color w:val="5A5A5A"/>
          <w:sz w:val="22"/>
        </w:rPr>
        <w:t>Formal submission-ready manuscript for Main Line A</w:t>
      </w:r>
    </w:p>
    <w:tbl>
      <w:tblPr>
        <w:tblStyle w:val="TableGrid"/>
        <w:tblW w:type="auto" w:w="0"/>
        <w:jc w:val="center"/>
        <w:tblLook w:firstColumn="1" w:firstRow="1" w:lastColumn="0" w:lastRow="0" w:noHBand="0" w:noVBand="1" w:val="04A0"/>
      </w:tblPr>
      <w:tblGrid>
        <w:gridCol w:w="4759"/>
        <w:gridCol w:w="4759"/>
      </w:tblGrid>
      <w:tr>
        <w:tc>
          <w:tcPr>
            <w:tcW w:type="dxa" w:w="4759"/>
            <w:shd w:fill="D9EAF7"/>
            <w:tcMar>
              <w:top w:w="90" w:type="dxa"/>
              <w:start w:w="120" w:type="dxa"/>
              <w:bottom w:w="90" w:type="dxa"/>
              <w:end w:w="120" w:type="dxa"/>
            </w:tcMar>
            <w:vAlign w:val="center"/>
          </w:tcPr>
          <w:p>
            <w:pPr>
              <w:spacing w:after="0" w:before="0"/>
            </w:pPr>
            <w:r>
              <w:rPr>
                <w:b/>
              </w:rPr>
              <w:t>Document Type</w:t>
            </w:r>
          </w:p>
        </w:tc>
        <w:tc>
          <w:tcPr>
            <w:tcW w:type="dxa" w:w="4759"/>
            <w:tcMar>
              <w:top w:w="90" w:type="dxa"/>
              <w:start w:w="120" w:type="dxa"/>
              <w:bottom w:w="90" w:type="dxa"/>
              <w:end w:w="120" w:type="dxa"/>
            </w:tcMar>
            <w:vAlign w:val="center"/>
          </w:tcPr>
          <w:p>
            <w:pPr>
              <w:spacing w:after="0" w:before="0"/>
            </w:pPr>
            <w:r>
              <w:t>English Version</w:t>
            </w:r>
          </w:p>
        </w:tc>
      </w:tr>
      <w:tr>
        <w:tc>
          <w:tcPr>
            <w:tcW w:type="dxa" w:w="4759"/>
            <w:shd w:fill="D9EAF7"/>
            <w:tcMar>
              <w:top w:w="90" w:type="dxa"/>
              <w:start w:w="120" w:type="dxa"/>
              <w:bottom w:w="90" w:type="dxa"/>
              <w:end w:w="120" w:type="dxa"/>
            </w:tcMar>
            <w:vAlign w:val="center"/>
          </w:tcPr>
          <w:p>
            <w:pPr>
              <w:spacing w:after="0" w:before="0"/>
            </w:pPr>
            <w:r>
              <w:rPr>
                <w:b/>
              </w:rPr>
              <w:t>Version</w:t>
            </w:r>
          </w:p>
        </w:tc>
        <w:tc>
          <w:tcPr>
            <w:tcW w:type="dxa" w:w="4759"/>
            <w:tcMar>
              <w:top w:w="90" w:type="dxa"/>
              <w:start w:w="120" w:type="dxa"/>
              <w:bottom w:w="90" w:type="dxa"/>
              <w:end w:w="120" w:type="dxa"/>
            </w:tcMar>
            <w:vAlign w:val="center"/>
          </w:tcPr>
          <w:p>
            <w:pPr>
              <w:spacing w:after="0" w:before="0"/>
            </w:pPr>
            <w:r>
              <w:t>v1.0</w:t>
            </w:r>
          </w:p>
        </w:tc>
      </w:tr>
      <w:tr>
        <w:tc>
          <w:tcPr>
            <w:tcW w:type="dxa" w:w="4759"/>
            <w:shd w:fill="D9EAF7"/>
            <w:tcMar>
              <w:top w:w="90" w:type="dxa"/>
              <w:start w:w="120" w:type="dxa"/>
              <w:bottom w:w="90" w:type="dxa"/>
              <w:end w:w="120" w:type="dxa"/>
            </w:tcMar>
            <w:vAlign w:val="center"/>
          </w:tcPr>
          <w:p>
            <w:pPr>
              <w:spacing w:after="0" w:before="0"/>
            </w:pPr>
            <w:r>
              <w:rPr>
                <w:b/>
              </w:rPr>
              <w:t>Date</w:t>
            </w:r>
          </w:p>
        </w:tc>
        <w:tc>
          <w:tcPr>
            <w:tcW w:type="dxa" w:w="4759"/>
            <w:tcMar>
              <w:top w:w="90" w:type="dxa"/>
              <w:start w:w="120" w:type="dxa"/>
              <w:bottom w:w="90" w:type="dxa"/>
              <w:end w:w="120" w:type="dxa"/>
            </w:tcMar>
            <w:vAlign w:val="center"/>
          </w:tcPr>
          <w:p>
            <w:pPr>
              <w:spacing w:after="0" w:before="0"/>
            </w:pPr>
            <w:r>
              <w:t>2026-04-21</w:t>
            </w:r>
          </w:p>
        </w:tc>
      </w:tr>
      <w:tr>
        <w:tc>
          <w:tcPr>
            <w:tcW w:type="dxa" w:w="4759"/>
            <w:shd w:fill="D9EAF7"/>
            <w:tcMar>
              <w:top w:w="90" w:type="dxa"/>
              <w:start w:w="120" w:type="dxa"/>
              <w:bottom w:w="90" w:type="dxa"/>
              <w:end w:w="120" w:type="dxa"/>
            </w:tcMar>
            <w:vAlign w:val="center"/>
          </w:tcPr>
          <w:p>
            <w:pPr>
              <w:spacing w:after="0" w:before="0"/>
            </w:pPr>
            <w:r>
              <w:rPr>
                <w:b/>
              </w:rPr>
              <w:t>Positioning</w:t>
            </w:r>
          </w:p>
        </w:tc>
        <w:tc>
          <w:tcPr>
            <w:tcW w:type="dxa" w:w="4759"/>
            <w:tcMar>
              <w:top w:w="90" w:type="dxa"/>
              <w:start w:w="120" w:type="dxa"/>
              <w:bottom w:w="90" w:type="dxa"/>
              <w:end w:w="120" w:type="dxa"/>
            </w:tcMar>
            <w:vAlign w:val="center"/>
          </w:tcPr>
          <w:p>
            <w:pPr>
              <w:spacing w:after="0" w:before="0"/>
            </w:pPr>
            <w:r>
              <w:t>Main Line A / Formal mother-theory candidate manuscript</w:t>
            </w:r>
          </w:p>
        </w:tc>
      </w:tr>
    </w:tbl>
    <w:p/>
    <w:p>
      <w:pPr>
        <w:jc w:val="center"/>
      </w:pPr>
      <w:r>
        <w:rPr>
          <w:color w:val="646464"/>
          <w:sz w:val="22"/>
        </w:rPr>
        <w:t>Background-Free Nonlinear Common Field Theory</w:t>
      </w:r>
    </w:p>
    <w:p>
      <w:r>
        <w:br w:type="page"/>
      </w:r>
    </w:p>
    <w:p>
      <w:pPr>
        <w:pStyle w:val="Heading1"/>
        <w:spacing w:before="0"/>
      </w:pPr>
      <w:r>
        <w:t>Abstract</w:t>
      </w:r>
    </w:p>
    <w:p>
      <w:r>
        <w:t>This manuscript proposes a candidate starting point for BNCFT (Background-Free Nonlinear Common Field Theory) at the mother-theory level. Instead of taking continuous spacetime, continuous fields, or a pre-given manifold as basic objects, it starts from background-free discrete relational systems together with their relational-algebraic structures. Within this framework, “sharing” does not mean field values distributed over a prior continuous medium, nor a common macroscopic background. Rather, it denotes an operational coupling pattern among local objects inside the system, sustained by relational constraints, joint accessibility structures, and joint response rules. The aim of this paper is neither to derive general relativity, quantum theory, or the standard model directly, nor to elevate a continuous effective description into the ontological mother theory. Its purpose is to provide a unified, auditable, and falsifiable foundational framework for subsequent work on discrete toy constructions, dimensional filtering, no-signaling interfaces, and geometric acceptance criteria.</w:t>
        <w:br/>
        <w:br/>
        <w:t>The paper enforces three firewalls. First, it does not presuppose a continuous spacetime background, and therefore does not allow distance, coordinates, light cones, or metrics to be inserted as mother-theory inputs. Second, it does not treat a continuous shared field as a basic object, but only permits it later as an effective parameterization once a geometric phase has emerged. Third, it does not treat explanatory reach over established theories as the success criterion; instead, the primary criterion is whether one can construct a finite-dimensional, computable, and falsifiable discrete bridge. On that basis, the manuscript provides the minimal object set of the BNCFT mother-theory candidate, its relational-algebraic formulation, the definition of shared interfaces, the state-update framework, the classification of observables, and explicit failure criteria. The result is not a final theory but the foundational base of Main Line A: if this discrete candidate cannot support later tests of rank-4 robustness, no-signaling correlations, and single-metric geometric acceptance, the line must roll back; if it passes those bridge tests, only then do continuous effective interfaces become eligible for further development.</w:t>
      </w:r>
    </w:p>
    <w:p>
      <w:r>
        <w:rPr>
          <w:b/>
        </w:rPr>
        <w:t xml:space="preserve">Keywords: </w:t>
      </w:r>
      <w:r>
        <w:t>BNCFT; background freedom; discrete relational algebra; shared interfaces; mother-theory candidate; falsifiable bridge</w:t>
      </w:r>
    </w:p>
    <w:p/>
    <w:p>
      <w:pPr>
        <w:pStyle w:val="Heading1"/>
      </w:pPr>
      <w:r>
        <w:t>Contents</w:t>
      </w:r>
    </w:p>
    <w:p>
      <w:pPr>
        <w:ind w:left="170"/>
      </w:pPr>
      <w:r>
        <w:rPr>
          <w:b/>
        </w:rPr>
        <w:t>0. Positioning, Firewalls, and Limits of Use</w:t>
      </w:r>
    </w:p>
    <w:p>
      <w:pPr>
        <w:spacing w:after="0"/>
        <w:ind w:left="454"/>
      </w:pPr>
      <w:r>
        <w:t>0.1 Positioning of this paper</w:t>
      </w:r>
    </w:p>
    <w:p>
      <w:pPr>
        <w:spacing w:after="0"/>
        <w:ind w:left="454"/>
      </w:pPr>
      <w:r>
        <w:t>0.2 Three firewalls</w:t>
      </w:r>
    </w:p>
    <w:p>
      <w:pPr>
        <w:spacing w:after="0"/>
        <w:ind w:left="454"/>
      </w:pPr>
      <w:r>
        <w:t>0.3 Limits of use</w:t>
      </w:r>
    </w:p>
    <w:p>
      <w:pPr>
        <w:spacing w:after="0"/>
        <w:ind w:left="454"/>
      </w:pPr>
      <w:r>
        <w:t>0.4 Minimum deliverables</w:t>
      </w:r>
    </w:p>
    <w:p>
      <w:pPr>
        <w:ind w:left="170"/>
      </w:pPr>
      <w:r>
        <w:rPr>
          <w:b/>
        </w:rPr>
        <w:t>1. Why the mother theory cannot start from a continuous shared field</w:t>
      </w:r>
    </w:p>
    <w:p>
      <w:pPr>
        <w:spacing w:after="0"/>
        <w:ind w:left="454"/>
      </w:pPr>
      <w:r>
        <w:t>1.1 The root problem: a continuous field smuggles in background structure</w:t>
      </w:r>
    </w:p>
    <w:p>
      <w:pPr>
        <w:spacing w:after="0"/>
        <w:ind w:left="454"/>
      </w:pPr>
      <w:r>
        <w:t>1.2 A continuous shared field is suitable as an effective variable, not as an ontological starting point</w:t>
      </w:r>
    </w:p>
    <w:p>
      <w:pPr>
        <w:spacing w:after="0"/>
        <w:ind w:left="454"/>
      </w:pPr>
      <w:r>
        <w:t>1.3 A background-free theory must first answer “how objects are related”</w:t>
      </w:r>
    </w:p>
    <w:p>
      <w:pPr>
        <w:spacing w:after="0"/>
        <w:ind w:left="454"/>
      </w:pPr>
      <w:r>
        <w:t>1.4 Starting from the continuous also confuses layers</w:t>
      </w:r>
    </w:p>
    <w:p>
      <w:pPr>
        <w:spacing w:after="0"/>
        <w:ind w:left="454"/>
      </w:pPr>
      <w:r>
        <w:t>1.5 The alternative adopted here</w:t>
      </w:r>
    </w:p>
    <w:p>
      <w:pPr>
        <w:spacing w:after="0"/>
        <w:ind w:left="454"/>
      </w:pPr>
      <w:r>
        <w:t>1.6 Conclusion of this section</w:t>
      </w:r>
    </w:p>
    <w:p>
      <w:pPr>
        <w:ind w:left="170"/>
      </w:pPr>
      <w:r>
        <w:rPr>
          <w:b/>
        </w:rPr>
        <w:t>2. Minimal objects of the mother-theory candidate: relational systems, states, and constraints</w:t>
      </w:r>
    </w:p>
    <w:p>
      <w:pPr>
        <w:spacing w:after="0"/>
        <w:ind w:left="454"/>
      </w:pPr>
      <w:r>
        <w:t>2.1 Minimal starting point</w:t>
      </w:r>
    </w:p>
    <w:p>
      <w:pPr>
        <w:spacing w:after="0"/>
        <w:ind w:left="454"/>
      </w:pPr>
      <w:r>
        <w:t>2.2 The object set Ω</w:t>
      </w:r>
    </w:p>
    <w:p>
      <w:pPr>
        <w:spacing w:after="0"/>
        <w:ind w:left="454"/>
      </w:pPr>
      <w:r>
        <w:t>2.3 The relation set ℛ</w:t>
      </w:r>
    </w:p>
    <w:p>
      <w:pPr>
        <w:spacing w:after="0"/>
        <w:ind w:left="454"/>
      </w:pPr>
      <w:r>
        <w:t>2.4 The state set Σ</w:t>
      </w:r>
    </w:p>
    <w:p>
      <w:pPr>
        <w:spacing w:after="0"/>
        <w:ind w:left="454"/>
      </w:pPr>
      <w:r>
        <w:t>2.5 The constraint set 𝒞</w:t>
      </w:r>
    </w:p>
    <w:p>
      <w:pPr>
        <w:spacing w:after="0"/>
        <w:ind w:left="454"/>
      </w:pPr>
      <w:r>
        <w:t>2.6 The family of update rules 𝒰</w:t>
      </w:r>
    </w:p>
    <w:p>
      <w:pPr>
        <w:spacing w:after="0"/>
        <w:ind w:left="454"/>
      </w:pPr>
      <w:r>
        <w:t>2.7 The observable set 𝒪</w:t>
      </w:r>
    </w:p>
    <w:p>
      <w:pPr>
        <w:spacing w:after="0"/>
        <w:ind w:left="454"/>
      </w:pPr>
      <w:r>
        <w:t>2.8 The minimal premise of “sharing”</w:t>
      </w:r>
    </w:p>
    <w:p>
      <w:pPr>
        <w:spacing w:after="0"/>
        <w:ind w:left="454"/>
      </w:pPr>
      <w:r>
        <w:t>2.9 Summary of the minimal object set</w:t>
      </w:r>
    </w:p>
    <w:p>
      <w:pPr>
        <w:spacing w:after="0"/>
        <w:ind w:left="454"/>
      </w:pPr>
      <w:r>
        <w:t>2.10 Conclusion of this section</w:t>
      </w:r>
    </w:p>
    <w:p>
      <w:pPr>
        <w:ind w:left="170"/>
      </w:pPr>
      <w:r>
        <w:rPr>
          <w:b/>
        </w:rPr>
        <w:t>3. Relational-algebraic formulation: relation matrices, local updates, and composable structures</w:t>
      </w:r>
    </w:p>
    <w:p>
      <w:pPr>
        <w:spacing w:after="0"/>
        <w:ind w:left="454"/>
      </w:pPr>
      <w:r>
        <w:t>3.1 Why an algebraic formulation is necessary</w:t>
      </w:r>
    </w:p>
    <w:p>
      <w:pPr>
        <w:spacing w:after="0"/>
        <w:ind w:left="454"/>
      </w:pPr>
      <w:r>
        <w:t>3.2 Relation-matrix representation</w:t>
      </w:r>
    </w:p>
    <w:p>
      <w:pPr>
        <w:spacing w:after="0"/>
        <w:ind w:left="454"/>
      </w:pPr>
      <w:r>
        <w:t>3.3 Physical meaning of the relation matrices</w:t>
      </w:r>
    </w:p>
    <w:p>
      <w:pPr>
        <w:spacing w:after="0"/>
        <w:ind w:left="454"/>
      </w:pPr>
      <w:r>
        <w:t>3.4 The relational algebra 𝔄</w:t>
      </w:r>
    </w:p>
    <w:p>
      <w:pPr>
        <w:spacing w:after="0"/>
        <w:ind w:left="454"/>
      </w:pPr>
      <w:r>
        <w:t>3.5 Choice of generators</w:t>
      </w:r>
    </w:p>
    <w:p>
      <w:pPr>
        <w:spacing w:after="0"/>
        <w:ind w:left="454"/>
      </w:pPr>
      <w:r>
        <w:t>3.6 Near-commuting regions</w:t>
      </w:r>
    </w:p>
    <w:p>
      <w:pPr>
        <w:spacing w:after="0"/>
        <w:ind w:left="454"/>
      </w:pPr>
      <w:r>
        <w:t>3.7 Joint spectra and effective dimensionality</w:t>
      </w:r>
    </w:p>
    <w:p>
      <w:pPr>
        <w:spacing w:after="0"/>
        <w:ind w:left="454"/>
      </w:pPr>
      <w:r>
        <w:t>3.8 Algebraic representation of local updates</w:t>
      </w:r>
    </w:p>
    <w:p>
      <w:pPr>
        <w:spacing w:after="0"/>
        <w:ind w:left="454"/>
      </w:pPr>
      <w:r>
        <w:t>3.9 Composable structures</w:t>
      </w:r>
    </w:p>
    <w:p>
      <w:pPr>
        <w:spacing w:after="0"/>
        <w:ind w:left="454"/>
      </w:pPr>
      <w:r>
        <w:t>3.10 Locality in relational algebra</w:t>
      </w:r>
    </w:p>
    <w:p>
      <w:pPr>
        <w:spacing w:after="0"/>
        <w:ind w:left="454"/>
      </w:pPr>
      <w:r>
        <w:t>3.11 A minimal algebraic template</w:t>
      </w:r>
    </w:p>
    <w:p>
      <w:pPr>
        <w:spacing w:after="0"/>
        <w:ind w:left="454"/>
      </w:pPr>
      <w:r>
        <w:t>3.12 Conclusion of this section</w:t>
      </w:r>
    </w:p>
    <w:p>
      <w:pPr>
        <w:ind w:left="170"/>
      </w:pPr>
      <w:r>
        <w:rPr>
          <w:b/>
        </w:rPr>
        <w:t>4. Strict definition of shared interfaces: common constraints, joint accessibility, and joint response</w:t>
      </w:r>
    </w:p>
    <w:p>
      <w:pPr>
        <w:spacing w:after="0"/>
        <w:ind w:left="454"/>
      </w:pPr>
      <w:r>
        <w:t>4.1 Why “sharing” must be redefined</w:t>
      </w:r>
    </w:p>
    <w:p>
      <w:pPr>
        <w:spacing w:after="0"/>
        <w:ind w:left="454"/>
      </w:pPr>
      <w:r>
        <w:t>4.2 Sharing is not an extra object</w:t>
      </w:r>
    </w:p>
    <w:p>
      <w:pPr>
        <w:spacing w:after="0"/>
        <w:ind w:left="454"/>
      </w:pPr>
      <w:r>
        <w:t>4.3 Overall definition of a shared interface</w:t>
      </w:r>
    </w:p>
    <w:p>
      <w:pPr>
        <w:spacing w:after="0"/>
        <w:ind w:left="454"/>
      </w:pPr>
      <w:r>
        <w:t>4.4 Common constraints</w:t>
      </w:r>
    </w:p>
    <w:p>
      <w:pPr>
        <w:spacing w:after="0"/>
        <w:ind w:left="454"/>
      </w:pPr>
      <w:r>
        <w:t>4.5 Joint accessibility</w:t>
      </w:r>
    </w:p>
    <w:p>
      <w:pPr>
        <w:spacing w:after="0"/>
        <w:ind w:left="454"/>
      </w:pPr>
      <w:r>
        <w:t>4.6 Joint response</w:t>
      </w:r>
    </w:p>
    <w:p>
      <w:pPr>
        <w:spacing w:after="0"/>
        <w:ind w:left="454"/>
      </w:pPr>
      <w:r>
        <w:t>4.7 Common invariants and joint readout</w:t>
      </w:r>
    </w:p>
    <w:p>
      <w:pPr>
        <w:spacing w:after="0"/>
        <w:ind w:left="454"/>
      </w:pPr>
      <w:r>
        <w:t>4.8 Sharing strength is not binary</w:t>
      </w:r>
    </w:p>
    <w:p>
      <w:pPr>
        <w:spacing w:after="0"/>
        <w:ind w:left="454"/>
      </w:pPr>
      <w:r>
        <w:t>4.9 What does not count as sharing</w:t>
      </w:r>
    </w:p>
    <w:p>
      <w:pPr>
        <w:spacing w:after="0"/>
        <w:ind w:left="454"/>
      </w:pPr>
      <w:r>
        <w:t>4.10 Relation to the continuous shared field</w:t>
      </w:r>
    </w:p>
    <w:p>
      <w:pPr>
        <w:spacing w:after="0"/>
        <w:ind w:left="454"/>
      </w:pPr>
      <w:r>
        <w:t>4.11 Minimal formal template</w:t>
      </w:r>
    </w:p>
    <w:p>
      <w:pPr>
        <w:spacing w:after="0"/>
        <w:ind w:left="454"/>
      </w:pPr>
      <w:r>
        <w:t>4.12 Conclusion of this section</w:t>
      </w:r>
    </w:p>
    <w:p>
      <w:pPr>
        <w:ind w:left="170"/>
      </w:pPr>
      <w:r>
        <w:rPr>
          <w:b/>
        </w:rPr>
        <w:t>5. What may and may not be said at the mother-theory level</w:t>
      </w:r>
    </w:p>
    <w:p>
      <w:pPr>
        <w:spacing w:after="0"/>
        <w:ind w:left="454"/>
      </w:pPr>
      <w:r>
        <w:t>5.1 Why this section is necessary</w:t>
      </w:r>
    </w:p>
    <w:p>
      <w:pPr>
        <w:spacing w:after="0"/>
        <w:ind w:left="454"/>
      </w:pPr>
      <w:r>
        <w:t>5.2 What may be discussed at the mother-theory level</w:t>
      </w:r>
    </w:p>
    <w:p>
      <w:pPr>
        <w:spacing w:after="0"/>
        <w:ind w:left="454"/>
      </w:pPr>
      <w:r>
        <w:t>5.3 What may not be discussed at the mother-theory level</w:t>
      </w:r>
    </w:p>
    <w:p>
      <w:pPr>
        <w:spacing w:after="0"/>
        <w:ind w:left="454"/>
      </w:pPr>
      <w:r>
        <w:t>5.4 Four levels of formulation</w:t>
      </w:r>
    </w:p>
    <w:p>
      <w:pPr>
        <w:spacing w:after="0"/>
        <w:ind w:left="454"/>
      </w:pPr>
      <w:r>
        <w:t>5.5 Safe language templates</w:t>
      </w:r>
    </w:p>
    <w:p>
      <w:pPr>
        <w:spacing w:after="0"/>
        <w:ind w:left="454"/>
      </w:pPr>
      <w:r>
        <w:t>5.6 Conclusion of this section</w:t>
      </w:r>
    </w:p>
    <w:p>
      <w:pPr>
        <w:ind w:left="170"/>
      </w:pPr>
      <w:r>
        <w:rPr>
          <w:b/>
        </w:rPr>
        <w:t>6. Observables, coarse-graining directions, and bridge goals</w:t>
      </w:r>
    </w:p>
    <w:p>
      <w:pPr>
        <w:spacing w:after="0"/>
        <w:ind w:left="454"/>
      </w:pPr>
      <w:r>
        <w:t>6.1 Why this section must already appear in the mother-theory paper</w:t>
      </w:r>
    </w:p>
    <w:p>
      <w:pPr>
        <w:spacing w:after="0"/>
        <w:ind w:left="454"/>
      </w:pPr>
      <w:r>
        <w:t>6.2 Three layers of observables</w:t>
      </w:r>
    </w:p>
    <w:p>
      <w:pPr>
        <w:spacing w:after="0"/>
        <w:ind w:left="454"/>
      </w:pPr>
      <w:r>
        <w:t>6.3 Why they are first internal readouts</w:t>
      </w:r>
    </w:p>
    <w:p>
      <w:pPr>
        <w:spacing w:after="0"/>
        <w:ind w:left="454"/>
      </w:pPr>
      <w:r>
        <w:t>6.4 Why coarse-graining is necessary</w:t>
      </w:r>
    </w:p>
    <w:p>
      <w:pPr>
        <w:spacing w:after="0"/>
        <w:ind w:left="454"/>
      </w:pPr>
      <w:r>
        <w:t>6.5 Possible directions of coarse-graining</w:t>
      </w:r>
    </w:p>
    <w:p>
      <w:pPr>
        <w:spacing w:after="0"/>
        <w:ind w:left="454"/>
      </w:pPr>
      <w:r>
        <w:t>6.6 Bridge goals of Main Line A</w:t>
      </w:r>
    </w:p>
    <w:p>
      <w:pPr>
        <w:spacing w:after="0"/>
        <w:ind w:left="454"/>
      </w:pPr>
      <w:r>
        <w:t>6.7 Relation to Main Line B</w:t>
      </w:r>
    </w:p>
    <w:p>
      <w:pPr>
        <w:spacing w:after="0"/>
        <w:ind w:left="454"/>
      </w:pPr>
      <w:r>
        <w:t>6.8 Suggested bridge-readout table</w:t>
      </w:r>
    </w:p>
    <w:p>
      <w:pPr>
        <w:spacing w:after="0"/>
        <w:ind w:left="454"/>
      </w:pPr>
      <w:r>
        <w:t>6.9 Conclusion of this section</w:t>
      </w:r>
    </w:p>
    <w:p>
      <w:pPr>
        <w:ind w:left="170"/>
      </w:pPr>
      <w:r>
        <w:rPr>
          <w:b/>
        </w:rPr>
        <w:t>7. Failure criteria, rollback mechanisms, and requirements for later toy models</w:t>
      </w:r>
    </w:p>
    <w:p>
      <w:pPr>
        <w:spacing w:after="0"/>
        <w:ind w:left="454"/>
      </w:pPr>
      <w:r>
        <w:t>7.1 Why “failure” must be written into the main text</w:t>
      </w:r>
    </w:p>
    <w:p>
      <w:pPr>
        <w:spacing w:after="0"/>
        <w:ind w:left="454"/>
      </w:pPr>
      <w:r>
        <w:t>7.2 Level-1 failure: failure at the object level</w:t>
      </w:r>
    </w:p>
    <w:p>
      <w:pPr>
        <w:spacing w:after="0"/>
        <w:ind w:left="454"/>
      </w:pPr>
      <w:r>
        <w:t>7.3 Level-2 failure: failure of toy-model computability</w:t>
      </w:r>
    </w:p>
    <w:p>
      <w:pPr>
        <w:spacing w:after="0"/>
        <w:ind w:left="454"/>
      </w:pPr>
      <w:r>
        <w:t>7.4 Level-3 failure: failure of the dimensional bridge</w:t>
      </w:r>
    </w:p>
    <w:p>
      <w:pPr>
        <w:spacing w:after="0"/>
        <w:ind w:left="454"/>
      </w:pPr>
      <w:r>
        <w:t>7.5 Level-4 failure: failure of the no-signaling sharing bridge</w:t>
      </w:r>
    </w:p>
    <w:p>
      <w:pPr>
        <w:spacing w:after="0"/>
        <w:ind w:left="454"/>
      </w:pPr>
      <w:r>
        <w:t>7.6 Level-5 failure: failure of single-metric readout</w:t>
      </w:r>
    </w:p>
    <w:p>
      <w:pPr>
        <w:spacing w:after="0"/>
        <w:ind w:left="454"/>
      </w:pPr>
      <w:r>
        <w:t>7.7 Level-6 failure: failure of universal coupling and conservation bridges</w:t>
      </w:r>
    </w:p>
    <w:p>
      <w:pPr>
        <w:spacing w:after="0"/>
        <w:ind w:left="454"/>
      </w:pPr>
      <w:r>
        <w:t>7.8 Rollback mechanism</w:t>
      </w:r>
    </w:p>
    <w:p>
      <w:pPr>
        <w:spacing w:after="0"/>
        <w:ind w:left="454"/>
      </w:pPr>
      <w:r>
        <w:t>7.9 Minimum requirements for later toy models</w:t>
      </w:r>
    </w:p>
    <w:p>
      <w:pPr>
        <w:spacing w:after="0"/>
        <w:ind w:left="454"/>
      </w:pPr>
      <w:r>
        <w:t>7.10 Conclusion of this section</w:t>
      </w:r>
    </w:p>
    <w:p>
      <w:pPr>
        <w:ind w:left="170"/>
      </w:pPr>
      <w:r>
        <w:rPr>
          <w:b/>
        </w:rPr>
        <w:t>Conclusion</w:t>
      </w:r>
    </w:p>
    <w:p>
      <w:pPr>
        <w:spacing w:after="0"/>
        <w:ind w:left="454"/>
      </w:pPr>
      <w:r>
        <w:t>Overall conclusion</w:t>
      </w:r>
    </w:p>
    <w:p>
      <w:r>
        <w:br w:type="page"/>
      </w:r>
    </w:p>
    <w:p>
      <w:pPr>
        <w:pStyle w:val="Heading1"/>
      </w:pPr>
      <w:r>
        <w:t>0. Positioning, Firewalls, and Limits of Use</w:t>
      </w:r>
    </w:p>
    <w:p>
      <w:pPr>
        <w:pStyle w:val="Heading2"/>
      </w:pPr>
      <w:r>
        <w:t>0.1 Positioning of this paper</w:t>
      </w:r>
    </w:p>
    <w:p>
      <w:r>
        <w:t>This paper is the starting manuscript of Main Line A of BNCFT. Its task is not to claim that BNCFT has already succeeded, nor to claim that it has already derived general relativity or quantum theory. Rather, it proposes the minimal starting point of a mother-theory candidate. The phrase “mother-theory candidate” must be understood strictly: it denotes a bottom-level constructive proposal that is eligible for further testing; it does not mean that the proposal has already been shown to be unique, correct, or complete.</w:t>
      </w:r>
    </w:p>
    <w:p>
      <w:r>
        <w:t>The paper has three immediate aims. First, it gives a basic object definition that does not smuggle in a background spacetime. Second, it clarifies what “sharing” means at the bottom level instead of leaving it as a philosophical slogan. Third, it provides a unified language for later work on discrete toy models, rank-4 filtering, Bell/no-signaling interfaces, and geometric acceptance criteria.</w:t>
      </w:r>
    </w:p>
    <w:p>
      <w:r>
        <w:t>Accordingly, this paper does not undertake the construction of a continuous EFT, the derivation of the GR limit, experimental fitting, a full interpretation of standard-model couplings, or the direct construction of high-level interfaces such as black holes, cosmology, and strongly coupled matter. Those tasks become legitimate only if later bridge tests in Main Line A are passed.</w:t>
      </w:r>
    </w:p>
    <w:p>
      <w:pPr>
        <w:pStyle w:val="Heading2"/>
      </w:pPr>
      <w:r>
        <w:t>0.2 Three firewalls</w:t>
      </w:r>
    </w:p>
    <w:p>
      <w:r>
        <w:t>First, no continuous background is presupposed: continuous manifolds, coordinate systems, preassigned dimensionality, metric tensors, light-cone structures, classical time parameters, and ready-made local field equations are not allowed as mother-theory inputs. Second, a continuous shared field is not a basic object of the mother theory; it may appear only later as an effective parameterization in a geometric phase. Third, explanatory reach is not a substitute for verifiable bridge construction: whether BNCFT stands or falls depends first on whether a discrete bridge can be constructed, computed, and allowed to fail.</w:t>
      </w:r>
    </w:p>
    <w:p>
      <w:pPr>
        <w:pStyle w:val="Heading2"/>
      </w:pPr>
      <w:r>
        <w:t>0.3 Limits of use</w:t>
      </w:r>
    </w:p>
    <w:p>
      <w:r>
        <w:t>This paper may only serve as a prior foundation for finite-dimensional relational-matrix toy constructions, analyses of near-commuting regions and joint spectra, filtering of effective dimensionality and rank robustness, tests of no-signaling correlations and operational causality, and the formulation of geometric acceptance criteria. It may not be used to support claims such as “BNCFT has derived GR,” “BNCFT has completed quantum-gravity unification,” or “the continuous shared field has been proven to be the ontology of the universe.” If later bridge papers fail, this paper must also roll back and has no immunity from revision.</w:t>
      </w:r>
    </w:p>
    <w:p>
      <w:pPr>
        <w:pStyle w:val="Heading2"/>
      </w:pPr>
      <w:r>
        <w:t>0.4 Minimum deliverables</w:t>
      </w:r>
    </w:p>
    <w:p>
      <w:r>
        <w:t>At minimum, this paper must provide five classes of content: the minimal object set, the relational-algebraic scheme, the definition of shared interfaces, the set of observables, and explicit failure criteria. If these five classes are not clearly provided, the paper is not complete.</w:t>
      </w:r>
    </w:p>
    <w:p/>
    <w:p>
      <w:pPr>
        <w:pStyle w:val="Heading1"/>
      </w:pPr>
      <w:r>
        <w:t>1. Why the mother theory cannot start from a continuous shared field</w:t>
      </w:r>
    </w:p>
    <w:p>
      <w:pPr>
        <w:pStyle w:val="Heading2"/>
      </w:pPr>
      <w:r>
        <w:t>1.1 The root problem: a continuous field smuggles in background structure</w:t>
      </w:r>
    </w:p>
    <w:p>
      <w:r>
        <w:t>If a theory begins by writing a continuous field Φ(x), then x already presupposes a well-defined set of points, neighborhood structure, topology, and often some differentiable structure. Even if the author verbally claims “background freedom,” once the formalism uses continuous coordinates, integration domains, differential operators, or metric contractions, background structure has already been imported. If BNCFT is to function as a genuinely background-free candidate, its mother-theory starting point cannot be “continuous field + continuous coordinates + continuous evolution parameter,” but must instead be a more primitive relational structure prior to any differentiated geometric stage.</w:t>
      </w:r>
    </w:p>
    <w:p>
      <w:pPr>
        <w:pStyle w:val="Heading2"/>
      </w:pPr>
      <w:r>
        <w:t>1.2 A continuous shared field is suitable as an effective variable, not as an ontological starting point</w:t>
      </w:r>
    </w:p>
    <w:p>
      <w:r>
        <w:t>At the level of a continuous effective theory, the phrase “shared field” may be useful: it can denote collective variables obtained after coarse-graining many local degrees of freedom, or serve as a unifying parameterization inside a geometric phase. That usage is acceptable. But if the continuous shared field is taken as the basic object of the mother theory, three difficulties immediately arise: the meaning of “sharing” becomes vague; continuous variables conceal bottom-level discrete constraints; and it becomes difficult to build a genuinely falsifiable bridge. Therefore, a continuous shared field can only belong to the effective descriptive layer of a geometric phase.</w:t>
      </w:r>
    </w:p>
    <w:p>
      <w:pPr>
        <w:pStyle w:val="Heading2"/>
      </w:pPr>
      <w:r>
        <w:t>1.3 A background-free theory must first answer “how objects are related”</w:t>
      </w:r>
    </w:p>
    <w:p>
      <w:r>
        <w:t>In traditional continuous theories, the fundamental question is usually phrased as how a field is distributed, evolves, and propagates on a background. In a background-free route, however, the more primitive questions are: what objects exist, what relations connect them, and how these relations are constrained, composed, and rewritten? The order of inquiry must therefore be reversed: not “space first, then fields varying on space,” but “relational structure first, then ask under what coarse-graining space, propagation, and geometry are read out.”</w:t>
      </w:r>
    </w:p>
    <w:p>
      <w:pPr>
        <w:pStyle w:val="Heading2"/>
      </w:pPr>
      <w:r>
        <w:t>1.4 Starting from the continuous also confuses layers</w:t>
      </w:r>
    </w:p>
    <w:p>
      <w:r>
        <w:t>If one first writes down a continuous model and only later adds the statement that it “comes from a deeper discrete structure,” the writing easily collapses levels: interface conditions become mother-theory axioms, effective variables are rewritten as ontological variables, explanatory templates are inflated into derivations, and compatibility is mistaken for proof. This is the fundamental reason the previous continuous v0.1 had to be downgraded.</w:t>
      </w:r>
    </w:p>
    <w:p>
      <w:pPr>
        <w:pStyle w:val="Heading2"/>
      </w:pPr>
      <w:r>
        <w:t>1.5 The alternative adopted here</w:t>
      </w:r>
    </w:p>
    <w:p>
      <w:r>
        <w:t>Since the theory cannot start from a continuous shared field, the mother-theory alternative must satisfy four requirements: the objects must be finite, explicit, and enumerable; the relations must admit algebraic treatment; sharing must be operationalizable; and the model must be able to fail. For this reason, the paper adopts “discrete relational algebra + shared interfaces” as the formal starting point of the mother-theory layer.</w:t>
      </w:r>
    </w:p>
    <w:p>
      <w:pPr>
        <w:pStyle w:val="Heading2"/>
      </w:pPr>
      <w:r>
        <w:t>1.6 Conclusion of this section</w:t>
      </w:r>
    </w:p>
    <w:p>
      <w:r>
        <w:t>The BNCFT mother-theory candidate cannot begin from a continuous shared field. A continuous shared field can only belong to the effective descriptive layer of a geometric phase. The proper starting point of the mother-theory layer is a background-free discrete relational system together with its relational-algebraic structure, while “sharing” must be rewritten as an operational, constrained, and falsifiable interface concept.</w:t>
      </w:r>
    </w:p>
    <w:p/>
    <w:p>
      <w:pPr>
        <w:pStyle w:val="Heading1"/>
      </w:pPr>
      <w:r>
        <w:t>2. Minimal objects of the mother-theory candidate: relational systems, states, and constraints</w:t>
      </w:r>
    </w:p>
    <w:p>
      <w:pPr>
        <w:pStyle w:val="Heading2"/>
      </w:pPr>
      <w:r>
        <w:t>2.1 Minimal starting point</w:t>
      </w:r>
    </w:p>
    <w:p>
      <w:r>
        <w:t>In the candidate mother theory proposed here, the minimal basic unit is not a “point” in continuous space or a “field value on a point,” but a finite or countable relational system, denoted 𝒮=(Ω,ℛ,Σ,𝒞,𝒰,𝒪), where Ω is the object set, ℛ the relation set, Σ the state set, 𝒞 the constraint set, 𝒰 the family of allowed update rules, and 𝒪 the set of observables.</w:t>
      </w:r>
    </w:p>
    <w:p>
      <w:pPr>
        <w:pStyle w:val="Heading2"/>
      </w:pPr>
      <w:r>
        <w:t>2.2 The object set Ω</w:t>
      </w:r>
    </w:p>
    <w:p>
      <w:r>
        <w:t>The elements of Ω may be called local units, relational carriers, or primitive objects. “Local” here is not geometric locality, since geometry has not yet emerged; it only means that these are the smallest units that can be independently labeled, can participate in relations, and can be acted on by local update rules. The only minimum requirements imposed on Ω are distinguishability, participability, and realizability in finite toy models.</w:t>
      </w:r>
    </w:p>
    <w:p>
      <w:pPr>
        <w:pStyle w:val="Heading2"/>
      </w:pPr>
      <w:r>
        <w:t>2.3 The relation set ℛ</w:t>
      </w:r>
    </w:p>
    <w:p>
      <w:r>
        <w:t>Without relations, the object set Ω remains empty of structure. The real skeleton is the relation set ℛ. A relation element need not be just a graph-theoretic edge; it may carry richer information such as directed/undirected labels, weights, types, activation/suppression states, local accessibility, compatibility/incompatibility markers, and composability labels. ℛ plays at least four roles: connectivity, carrier of constraints, precursor of propagation, and precursor of geometry.</w:t>
      </w:r>
    </w:p>
    <w:p>
      <w:pPr>
        <w:pStyle w:val="Heading2"/>
      </w:pPr>
      <w:r>
        <w:t>2.4 The state set Σ</w:t>
      </w:r>
    </w:p>
    <w:p>
      <w:r>
        <w:t>The paper allows three kinds of state: object states σ(a)∈ΣΩ, relation states ρ(a,b)∈Σℛ, and composite states χ(X)∈Σcomp defined on subsystems. Hence the total state of the system may be written as s=(σ,ρ,χ). This means that the mother theory is not a one-layer graph, but a multilayer relational system with object states, relation states, and composite states.</w:t>
      </w:r>
    </w:p>
    <w:p>
      <w:pPr>
        <w:pStyle w:val="Heading2"/>
      </w:pPr>
      <w:r>
        <w:t>2.5 The constraint set 𝒞</w:t>
      </w:r>
    </w:p>
    <w:p>
      <w:r>
        <w:t>Without constraints, a relational system may be arbitrarily assembled and loses theoretical discriminating power. The set 𝒞 specifies which state-relation configurations are allowed and which are forbidden. The paper distinguishes compatibility constraints, local-update constraints, conservation-type constraints, and sharing-consistency constraints. The role of 𝒞 is not merely to reduce freedom, but to provide an auditable logical skeleton.</w:t>
      </w:r>
    </w:p>
    <w:p>
      <w:pPr>
        <w:pStyle w:val="Heading2"/>
      </w:pPr>
      <w:r>
        <w:t>2.6 The family of update rules 𝒰</w:t>
      </w:r>
    </w:p>
    <w:p>
      <w:r>
        <w:t>Instead of writing change as an evolution equation in an external continuous time t, the paper replaces traditional time evolution with a family of local update rules 𝒰. An update rule is written as u:(s,ℛ)→(s′,ℛ′) and must satisfy locality, constraint preservation or controlled violation, composability, and in general noncommutativity. Dynamics is therefore not “flow in background time,” but local rewriting under an allowed rule family; the rewrite sequences themselves become candidates for later notions of temporality and causality.</w:t>
      </w:r>
    </w:p>
    <w:p>
      <w:pPr>
        <w:pStyle w:val="Heading2"/>
      </w:pPr>
      <w:r>
        <w:t>2.7 The observable set 𝒪</w:t>
      </w:r>
    </w:p>
    <w:p>
      <w:r>
        <w:t>Observables are defined as functions Oα=Oα(s,ℛ) on the states and relations of the system, including local readouts, mesoscopic structural quantities, and global statistical quantities. At the mother-theory level, observables are first of all internal readout quantities that can be defined, compared, and tracked inside the theory; only after later bridge construction may part of them be mapped to physical experimental quantities.</w:t>
      </w:r>
    </w:p>
    <w:p>
      <w:pPr>
        <w:pStyle w:val="Heading2"/>
      </w:pPr>
      <w:r>
        <w:t>2.8 The minimal premise of “sharing”</w:t>
      </w:r>
    </w:p>
    <w:p>
      <w:r>
        <w:t>In the candidate mother theory, “sharing” cannot be treated as a mysterious third entity floating above objects and relations. Rather, it should be understood as some combination of common constraints, joint accessibility, joint response, and common invariants. This compresses “sharing” from a vague holistic expression into a structural criterion that can later be operationalized.</w:t>
      </w:r>
    </w:p>
    <w:p>
      <w:pPr>
        <w:pStyle w:val="Heading2"/>
      </w:pPr>
      <w:r>
        <w:t>2.9 Summary of the minimal object set</w:t>
      </w:r>
    </w:p>
    <w:p>
      <w:r>
        <w:t>The minimal object set of the candidate mother theory can therefore be summarized as 𝒮=(Ω,ℛ,Σ,𝒞,𝒰,𝒪). These six ingredients jointly define the minimal candidate framework of BNCFT at the mother-theory layer. From this point onward, the questions are no longer whether one can keep speaking philosophically, but whether these objects can be turned into computable models, whether the relations can be algebraized, whether update sequences can display near-geometric signatures, and whether shared structures can be compatible with no-signaling correlations.</w:t>
      </w:r>
    </w:p>
    <w:p>
      <w:pPr>
        <w:pStyle w:val="Heading2"/>
      </w:pPr>
      <w:r>
        <w:t>2.10 Conclusion of this section</w:t>
      </w:r>
    </w:p>
    <w:p>
      <w:r>
        <w:t>The candidate mother theory proposed here does not begin from a continuous field or continuous spacetime. It begins from a discrete relational system consisting of objects, relations, states, constraints, updates, and observables. Within this framework, “sharing” is not a pre-given medium but a structural expression of common constraints, joint accessibility, joint response, and common invariants.</w:t>
      </w:r>
    </w:p>
    <w:p/>
    <w:p>
      <w:pPr>
        <w:pStyle w:val="Heading1"/>
      </w:pPr>
      <w:r>
        <w:t>3. Relational-algebraic formulation: relation matrices, local updates, and composable structures</w:t>
      </w:r>
    </w:p>
    <w:p>
      <w:pPr>
        <w:pStyle w:val="Heading2"/>
      </w:pPr>
      <w:r>
        <w:t>3.1 Why an algebraic formulation is necessary</w:t>
      </w:r>
    </w:p>
    <w:p>
      <w:r>
        <w:t>Without an explicit algebraic formulation, the relational system remains too conceptual to enter computation, proof attempts, and falsification. The goal of this section is therefore to compress the relational system into a discrete relational-algebraic framework.</w:t>
      </w:r>
    </w:p>
    <w:p>
      <w:pPr>
        <w:pStyle w:val="Heading2"/>
      </w:pPr>
      <w:r>
        <w:t>3.2 Relation-matrix representation</w:t>
      </w:r>
    </w:p>
    <w:p>
      <w:r>
        <w:t>For a finite object set Ω={1,2,…,N}, the relational record may be written as one or several matrices R(α)=(R(α)ij), where α labels the relation type. The entire relational system can then be represented by a family of relation matrices. Once relations are written as matrices or discrete operator families, questions of commutators, joint spectra, approximate common eigenspaces, and low-dimensional dominant subspaces naturally arise.</w:t>
      </w:r>
    </w:p>
    <w:p>
      <w:pPr>
        <w:pStyle w:val="Heading2"/>
      </w:pPr>
      <w:r>
        <w:t>3.3 Physical meaning of the relation matrices</w:t>
      </w:r>
    </w:p>
    <w:p>
      <w:r>
        <w:t>R(α) should not be interpreted simply as the adjacency matrix of a spatial graph. More accurately, R(α)ij records the value or availability of a primitive relation between objects i and j in the current configuration. Geometric proximity is only one possible effective property that may later be read out from these matrices; it is not part of the definition itself.</w:t>
      </w:r>
    </w:p>
    <w:p>
      <w:pPr>
        <w:pStyle w:val="Heading2"/>
      </w:pPr>
      <w:r>
        <w:t>3.4 The relational algebra 𝔄</w:t>
      </w:r>
    </w:p>
    <w:p>
      <w:r>
        <w:t>Once the matrix family is given, one may consider the algebra generated by it, denoted 𝔄=⟨R(α)|α∈I⟩. At minimum, this algebra must allow finite linear combinations, multiplicative compositions, commutators, and the discussion of subalgebras, ideals, and approximately closed subsets. In this way the mother-theory relational system is compressed into a relational algebra generated by finitely many generators subject to constraints.</w:t>
      </w:r>
    </w:p>
    <w:p>
      <w:pPr>
        <w:pStyle w:val="Heading2"/>
      </w:pPr>
      <w:r>
        <w:t>3.5 Choice of generators</w:t>
      </w:r>
    </w:p>
    <w:p>
      <w:r>
        <w:t>Within Main Line A of BNCFT, the choice of generators should obey four principles: few but nontrivial; interpretable as local relational channels; not forced to commute; and implementable in finite-dimensional toy models. One of the central tasks of A2 will be to provide the first concrete realization of such a generator set.</w:t>
      </w:r>
    </w:p>
    <w:p>
      <w:pPr>
        <w:pStyle w:val="Heading2"/>
      </w:pPr>
      <w:r>
        <w:t>3.6 Near-commuting regions</w:t>
      </w:r>
    </w:p>
    <w:p>
      <w:r>
        <w:t>If different generators become nearly commuting in certain parameter regions, subspaces, or coarse-grained layers, namely ‖[R(α),R(β)]‖≪1, this may indicate approximate common eigenspaces, relatively stable joint spectra, and a tendency toward geometric interpretation. Yet a near-commuting region is not geometry already achieved; it is only a candidate signature of geometry.</w:t>
      </w:r>
    </w:p>
    <w:p>
      <w:pPr>
        <w:pStyle w:val="Heading2"/>
      </w:pPr>
      <w:r>
        <w:t>3.7 Joint spectra and effective dimensionality</w:t>
      </w:r>
    </w:p>
    <w:p>
      <w:r>
        <w:t>If several generators become approximately simultaneously diagonalizable in some region, their eigenvalue distributions, spectral clustering structures, and dominant subspace dimensions may serve as candidate readouts of “effective dimensionality.” Without algebraic language, notions such as four-dimensionality, single-metric structure, and local propagation remain at the level of interpretation; inside a relational-algebraic framework they become testable questions.</w:t>
      </w:r>
    </w:p>
    <w:p>
      <w:pPr>
        <w:pStyle w:val="Heading2"/>
      </w:pPr>
      <w:r>
        <w:t>3.8 Algebraic representation of local updates</w:t>
      </w:r>
    </w:p>
    <w:p>
      <w:r>
        <w:t>Updates should also be algebraized whenever possible. A natural formulation is to treat an update as a local transformation of the matrix family, uX:ℜ→ℜ′. In this formulation, updates are no longer external pushes but allowed structural rewritings internal to the relational algebra.</w:t>
      </w:r>
    </w:p>
    <w:p>
      <w:pPr>
        <w:pStyle w:val="Heading2"/>
      </w:pPr>
      <w:r>
        <w:t>3.9 Composable structures</w:t>
      </w:r>
    </w:p>
    <w:p>
      <w:r>
        <w:t>Once updates are algebraized, finite update sequences uk∘⋯∘u1 appear naturally. The set of all allowed finite update sequences forms at least a semigroup. The relevant “before/after” structure is not a presupposed time axis but the composability relation among updates. The precursor of temporality is therefore a constrained path structure of updates, not a parameter t.</w:t>
      </w:r>
    </w:p>
    <w:p>
      <w:pPr>
        <w:pStyle w:val="Heading2"/>
      </w:pPr>
      <w:r>
        <w:t>3.10 Locality in relational algebra</w:t>
      </w:r>
    </w:p>
    <w:p>
      <w:r>
        <w:t>At the mother-theory level, one cannot define locality by presupposing space. Instead, locality must be rewritten in purely relational-algebraic terms: an update, readout, or perturbation is local if it depends only on a finite support set and its finite-order relational closure.</w:t>
      </w:r>
    </w:p>
    <w:p>
      <w:pPr>
        <w:pStyle w:val="Heading2"/>
      </w:pPr>
      <w:r>
        <w:t>3.11 A minimal algebraic template</w:t>
      </w:r>
    </w:p>
    <w:p>
      <w:r>
        <w:t>For later concretization in A2, the paper gives a minimal template: take a finite object set Ω={1,…,N}, choose generators R(1),…,R(m)∈MN(𝔽), impose local constraints, local update maps, constraint-preserving conditions, and candidate readouts such as commutator norms, spectra, and effective ranks. Although still rough, this template is sufficient to support the next toy-model paper.</w:t>
      </w:r>
    </w:p>
    <w:p>
      <w:pPr>
        <w:pStyle w:val="Heading2"/>
      </w:pPr>
      <w:r>
        <w:t>3.12 Conclusion of this section</w:t>
      </w:r>
    </w:p>
    <w:p>
      <w:r>
        <w:t>This section compresses the discrete relational system into a relational-algebraic framework. Primitive relations are represented by a family of relation matrices or discrete operators, generating a finite algebraic system that is composable, updateable, constrained, and equipped with commutators. In this way, the BNCFT mother-theory candidate becomes more than a verbal claim about “discrete relations”: it acquires the algebraic language required for finite-dimensional toy construction and later bridge verification.</w:t>
      </w:r>
    </w:p>
    <w:p/>
    <w:p>
      <w:pPr>
        <w:pStyle w:val="Heading1"/>
      </w:pPr>
      <w:r>
        <w:t>4. Strict definition of shared interfaces: common constraints, joint accessibility, and joint response</w:t>
      </w:r>
    </w:p>
    <w:p>
      <w:pPr>
        <w:pStyle w:val="Heading2"/>
      </w:pPr>
      <w:r>
        <w:t>4.1 Why “sharing” must be redefined</w:t>
      </w:r>
    </w:p>
    <w:p>
      <w:r>
        <w:t>At this stage, the word “sharing” is still only directional unless it is turned into a strict object that can enter toy models, no-signaling analysis, and geometric acceptance criteria. It can neither remain a philosophical claim that “everything is related,” nor be quietly replaced by field distributions over a common background in the traditional sense. It must instead be compressed into an interface concept: not an extra entity, but a set of structural conditions that can be identified, updated, read out, and tested inside a discrete relational system.</w:t>
      </w:r>
    </w:p>
    <w:p>
      <w:pPr>
        <w:pStyle w:val="Heading2"/>
      </w:pPr>
      <w:r>
        <w:t>4.2 Sharing is not an extra object</w:t>
      </w:r>
    </w:p>
    <w:p>
      <w:r>
        <w:t>Let X,Y⊂Ω. To say that X and Y “share” some structure does not mean that there exists a mysterious third thing floating above them. More precisely, it means that X and Y satisfy a set of conditions at the levels of relations, constraints, updates, and readouts. Sharing is first of all a structural relation, not the name of a medium.</w:t>
      </w:r>
    </w:p>
    <w:p>
      <w:pPr>
        <w:pStyle w:val="Heading2"/>
      </w:pPr>
      <w:r>
        <w:t>4.3 Overall definition of a shared interface</w:t>
      </w:r>
    </w:p>
    <w:p>
      <w:r>
        <w:t>The paper defines a shared interface by a family of criteria. If there exists a structure set 𝕀share(X,Y)=(𝒞XY,𝒜XY,ℛXY,𝒥XY) such that X and Y display nontrivial commonality at the levels of constraints, updates, and readouts, and if that commonality can be checked by internal observables of the theory, then X and Y are said to possess a shared interface. The key point of the word “interface” is not that X and Y are “one in essence,” but that there is a stable yet restricted contact surface between them within the allowed operations of the theory.</w:t>
      </w:r>
    </w:p>
    <w:p>
      <w:pPr>
        <w:pStyle w:val="Heading2"/>
      </w:pPr>
      <w:r>
        <w:t>4.4 Common constraints</w:t>
      </w:r>
    </w:p>
    <w:p>
      <w:r>
        <w:t>Common constraints ask whether X and Y are governed by some of the same underlying restrictions, such that they cannot be specified independently at will. If there exists a nonempty subset 𝒞XY⊂𝒞 simultaneously acting on X, Y, and their associated relations, then X and Y possess a common-constraint structure. This does not automatically imply signal transmission; it only means that X and Y are not completely decoupled subsystems.</w:t>
      </w:r>
    </w:p>
    <w:p>
      <w:pPr>
        <w:pStyle w:val="Heading2"/>
      </w:pPr>
      <w:r>
        <w:t>4.5 Joint accessibility</w:t>
      </w:r>
    </w:p>
    <w:p>
      <w:r>
        <w:t>Common constraints alone are not enough, because subsystems may still remain dynamically almost unrelated. Joint accessibility therefore asks whether, under allowed update sequences, local rewritings of X modify the boundary of the reachable state space of Y, or vice versa, so that X and Y lie within the same dynamical accessibility shell.</w:t>
      </w:r>
    </w:p>
    <w:p>
      <w:pPr>
        <w:pStyle w:val="Heading2"/>
      </w:pPr>
      <w:r>
        <w:t>4.6 Joint response</w:t>
      </w:r>
    </w:p>
    <w:p>
      <w:r>
        <w:t>Joint response asks whether an allowed local rewriting on X changes certain readout quantities on Y in a rule-constrained way. Even if uX changes OY, it does not follow that an operator can encode arbitrary information into the marginal readout on Y by freely tuning uX. Joint response is a necessary layer of a shared interface, but its presence cannot be directly interpreted as operational signaling.</w:t>
      </w:r>
    </w:p>
    <w:p>
      <w:pPr>
        <w:pStyle w:val="Heading2"/>
      </w:pPr>
      <w:r>
        <w:t>4.7 Common invariants and joint readout</w:t>
      </w:r>
    </w:p>
    <w:p>
      <w:r>
        <w:t>If there exists a composite readout JXY defined on X∪Y that belongs neither to X alone nor to Y alone, and if it is preserved or transformed in a controlled manner under certain allowed updates, then X and Y possess a common invariant or joint-readout structure. This lifts sharing from a one-time response coincidence to a longer-term structural feature.</w:t>
      </w:r>
    </w:p>
    <w:p>
      <w:pPr>
        <w:pStyle w:val="Heading2"/>
      </w:pPr>
      <w:r>
        <w:t>4.8 Sharing strength is not binary</w:t>
      </w:r>
    </w:p>
    <w:p>
      <w:r>
        <w:t>It is more natural to introduce a strength or grade of sharing, denoted Sh(X,Y)=(sC,sA,sR,sJ), corresponding to the strengths of common constraints, joint accessibility, joint response, and common invariants. This allows one to distinguish weak sharing from strong sharing and provides a quantitative entry point for later numerical toy models.</w:t>
      </w:r>
    </w:p>
    <w:p>
      <w:pPr>
        <w:pStyle w:val="Heading2"/>
      </w:pPr>
      <w:r>
        <w:t>4.9 What does not count as sharing</w:t>
      </w:r>
    </w:p>
    <w:p>
      <w:r>
        <w:t>Pure statistical coincidence, pseudo-sharing caused by label overlap, arbitrarily tunable global couplings, and unconstrained directly controllable signal channels do not count as the kind of shared interface required by BNCFT. Sharing must be restricted coupling, not a blanket label for every correlation.</w:t>
      </w:r>
    </w:p>
    <w:p>
      <w:pPr>
        <w:pStyle w:val="Heading2"/>
      </w:pPr>
      <w:r>
        <w:t>4.10 Relation to the continuous shared field</w:t>
      </w:r>
    </w:p>
    <w:p>
      <w:r>
        <w:t>If the phrase “continuous shared field” is meaningful at all, it can only emerge as the effective parameterization of the above shared interfaces inside a geometric phase. The proper hierarchy is: shared interface (discrete) → network of shared structures → coarse-grained effective variables → continuous shared field (if any). This again shows that the continuous shared field belongs to the result layer, not to the mother-theory starting layer.</w:t>
      </w:r>
    </w:p>
    <w:p>
      <w:pPr>
        <w:pStyle w:val="Heading2"/>
      </w:pPr>
      <w:r>
        <w:t>4.11 Minimal formal template</w:t>
      </w:r>
    </w:p>
    <w:p>
      <w:r>
        <w:t>If X,Y⊂Ω possess common constraints, a joint accessibility shell, a nontrivial but restricted response relation, and a joint readout quantity defined on X∪Y, then (X,Y) are said to have a shared interface. If these structures remain stable under parameter perturbations, finite-size changes, or local update noise, the interface is robust; otherwise it is fragile.</w:t>
      </w:r>
    </w:p>
    <w:p>
      <w:pPr>
        <w:pStyle w:val="Heading2"/>
      </w:pPr>
      <w:r>
        <w:t>4.12 Conclusion of this section</w:t>
      </w:r>
    </w:p>
    <w:p>
      <w:r>
        <w:t>This section compresses “sharing” from a general slogan into a strict interface concept. Sharing is not an extra ontology, but a pattern of restricted coupling among subsystems formed through relational algebra, constraint structures, and local update rules. Defined in this way, it preserves the possibility of later coarse-graining into a continuous shared field while avoiding any smuggling of continuous-medium language into the mother-theory layer, and it provides the operational entry point required for later analyses of Bell-type correlations, no-signaling, and operational causality.</w:t>
      </w:r>
    </w:p>
    <w:p/>
    <w:p>
      <w:pPr>
        <w:pStyle w:val="Heading1"/>
      </w:pPr>
      <w:r>
        <w:t>5. What may and may not be said at the mother-theory level</w:t>
      </w:r>
    </w:p>
    <w:p>
      <w:pPr>
        <w:pStyle w:val="Heading2"/>
      </w:pPr>
      <w:r>
        <w:t>5.1 Why this section is necessary</w:t>
      </w:r>
    </w:p>
    <w:p>
      <w:r>
        <w:t>For a theory that insists on background freedom, one of the greatest dangers is level mixing. A paper may verbally distinguish mother theory, bridge models, continuous effective descriptions, and phenomenological interpretations, yet still keep re-inserting high-level objects back into bottom-level definitions. The purpose of this section is to establish a clear boundary: what is permissible language at the mother-theory level, and what is not.</w:t>
      </w:r>
    </w:p>
    <w:p>
      <w:pPr>
        <w:pStyle w:val="Heading2"/>
      </w:pPr>
      <w:r>
        <w:t>5.2 What may be discussed at the mother-theory level</w:t>
      </w:r>
    </w:p>
    <w:p>
      <w:r>
        <w:t>Permissible content includes objects and relational structures that do not rely on a presupposed continuous background and can be directly realized or tested in finite-dimensional toy models: object sets and relation structures; states, constraints, and local update rules; internal observables and readouts; near-commutativity, joint spectra, and candidate effective dimensionality; and the formal preparation for shared interfaces and no-signaling conditions.</w:t>
      </w:r>
    </w:p>
    <w:p>
      <w:pPr>
        <w:pStyle w:val="Heading2"/>
      </w:pPr>
      <w:r>
        <w:t>5.3 What may not be discussed at the mother-theory level</w:t>
      </w:r>
    </w:p>
    <w:p>
      <w:r>
        <w:t>The following formulations must be excluded at the mother-theory layer: presupposed continuous manifolds, coordinates, metrics, light cones, and curvatures; the continuous shared field as a basic ontological object; statements that near-geometric signatures already amount to geometry achieved; statements that shared correlations already amount to operational signaling; and any treatment of continuous interface templates as if they were derivations from the mother theory.</w:t>
      </w:r>
    </w:p>
    <w:p>
      <w:pPr>
        <w:pStyle w:val="Heading2"/>
      </w:pPr>
      <w:r>
        <w:t>5.4 Four levels of formulation</w:t>
      </w:r>
    </w:p>
    <w:p>
      <w:r>
        <w:t>To avoid confusion, later writing should consistently distinguish four levels of assertion: candidate, signature, matching, and derivation/proof. The fourth level should almost never be used in the early stages of Main Line A; it becomes appropriate only after the relevant bridge conditions have been completed and checked for robustness.</w:t>
      </w:r>
    </w:p>
    <w:p>
      <w:pPr>
        <w:pStyle w:val="Heading2"/>
      </w:pPr>
      <w:r>
        <w:t>5.5 Safe language templates</w:t>
      </w:r>
    </w:p>
    <w:p>
      <w:r>
        <w:t>It is acceptable to write “this paper proposes a mother-theory candidate,” “the structure displays near-geometric signatures,” or “under certain phase conditions, the result matches a single-metric EFT template.” It is not acceptable to write “this paper has already established a complete theory of gravity,” “this paper directly derives four-dimensional spacetime,” or “this paper proves that the continuous shared field is the basic ontology of the universe.”</w:t>
      </w:r>
    </w:p>
    <w:p>
      <w:pPr>
        <w:pStyle w:val="Heading2"/>
      </w:pPr>
      <w:r>
        <w:t>5.6 Conclusion of this section</w:t>
      </w:r>
    </w:p>
    <w:p>
      <w:r>
        <w:t>The mother-theory layer is responsible for providing a background-free discrete starting point and a falsifiable basis for bridge construction, not for prematurely announcing that higher-level continuous theories have already been rigorously derived.</w:t>
      </w:r>
    </w:p>
    <w:p/>
    <w:p>
      <w:pPr>
        <w:pStyle w:val="Heading1"/>
      </w:pPr>
      <w:r>
        <w:t>6. Observables, coarse-graining directions, and bridge goals</w:t>
      </w:r>
    </w:p>
    <w:p>
      <w:pPr>
        <w:pStyle w:val="Heading2"/>
      </w:pPr>
      <w:r>
        <w:t>6.1 Why this section must already appear in the mother-theory paper</w:t>
      </w:r>
    </w:p>
    <w:p>
      <w:r>
        <w:t>A definitional paper alone is not enough. One must also state where the bottom-level structures are supposed to go. This section therefore turns the manuscript from a mere definitional statement into a construction document by fixing the relation among bottom-level readouts, coarse-graining directions, and bridge goals.</w:t>
      </w:r>
    </w:p>
    <w:p>
      <w:pPr>
        <w:pStyle w:val="Heading2"/>
      </w:pPr>
      <w:r>
        <w:t>6.2 Three layers of observables</w:t>
      </w:r>
    </w:p>
    <w:p>
      <w:r>
        <w:t>Observables should first be divided into three layers: local readouts, such as local relation degree, local response amplitude, and local commutator norm; mesoscopic structural quantities, such as subsystem joint spectra, effective rank, propagation cost, and finite-step accessibility shells; and global statistical quantities, such as the frequency of rank-4 regions, the proportion of pathological regions, and the consistency rate among different probes.</w:t>
      </w:r>
    </w:p>
    <w:p>
      <w:pPr>
        <w:pStyle w:val="Heading2"/>
      </w:pPr>
      <w:r>
        <w:t>6.3 Why they are first internal readouts</w:t>
      </w:r>
    </w:p>
    <w:p>
      <w:r>
        <w:t>Between the discrete relational system and physical experimental quantities lie coarse-graining, effective-variable extraction, operational definitions, and matching to continuous interfaces. Hence the observables at the mother-theory level are first bridge-preparatory internal readouts, not direct laboratory observables.</w:t>
      </w:r>
    </w:p>
    <w:p>
      <w:pPr>
        <w:pStyle w:val="Heading2"/>
      </w:pPr>
      <w:r>
        <w:t>6.4 Why coarse-graining is necessary</w:t>
      </w:r>
    </w:p>
    <w:p>
      <w:r>
        <w:t>If higher-level continuous objects exist, they are extremely unlikely to emerge in one direct step. The more reasonable route is: discrete relational system → trackable internal readouts → coarse-grained effective variables → candidate continuous interfaces. Without coarse-graining one cannot distinguish detail-dependent pseudo-structures from genuinely robust effective structures.</w:t>
      </w:r>
    </w:p>
    <w:p>
      <w:pPr>
        <w:pStyle w:val="Heading2"/>
      </w:pPr>
      <w:r>
        <w:t>6.5 Possible directions of coarse-graining</w:t>
      </w:r>
    </w:p>
    <w:p>
      <w:r>
        <w:t>At least five directions are natural: block coarse-graining of relational clusters, spectral coarse-graining, coarse-graining of update paths, coarse-graining of shared interfaces, and probe-consistent coarse-graining. These directions establish the prerequisites under which talk of a continuous shared field may later become meaningful.</w:t>
      </w:r>
    </w:p>
    <w:p>
      <w:pPr>
        <w:pStyle w:val="Heading2"/>
      </w:pPr>
      <w:r>
        <w:t>6.6 Bridge goals of Main Line A</w:t>
      </w:r>
    </w:p>
    <w:p>
      <w:r>
        <w:t>The bridge goals of Main Line A should be written as five intermediate acceptance targets: effective-dimensionality bridge, propagation/locality bridge, no-signaling sharing bridge, single-metric readout bridge, and universal-coupling/conservation bridge. Only after these targets are passed does it become legitimate to take the continuous effective-interface library of Main Line B seriously.</w:t>
      </w:r>
    </w:p>
    <w:p>
      <w:pPr>
        <w:pStyle w:val="Heading2"/>
      </w:pPr>
      <w:r>
        <w:t>6.7 Relation to Main Line B</w:t>
      </w:r>
    </w:p>
    <w:p>
      <w:r>
        <w:t>Main Line A does not output the continuous theory itself. It outputs whether there are robust geometric-phase candidates, rank-4 typical regions, no-signaling shared interfaces, signs of single-metric readout, and precursors of universal coupling or conservation. Main Line B receives these outputs and turns them into continuous template language; it does not redefine the bottom-level ontology from above.</w:t>
      </w:r>
    </w:p>
    <w:p>
      <w:pPr>
        <w:pStyle w:val="Heading2"/>
      </w:pPr>
      <w:r>
        <w:t>6.8 Suggested bridge-readout table</w:t>
      </w:r>
    </w:p>
    <w:p>
      <w:r>
        <w:t>The later papers A2-A5 should use a unified bridge-readout table that maps dimensionality, locality, no-signaling, single-metric structure, and universal coupling to bottom-level readout quantities, intermediate criteria, and high-level target templates. This keeps every higher-level phrase tied back to a concrete bottom-level quantity.</w:t>
      </w:r>
    </w:p>
    <w:p>
      <w:pPr>
        <w:pStyle w:val="Heading2"/>
      </w:pPr>
      <w:r>
        <w:t>6.9 Conclusion of this section</w:t>
      </w:r>
    </w:p>
    <w:p>
      <w:r>
        <w:t>The bridge goals of Main Line A must therefore be explicitly stated as acceptance targets for effective dimensionality, propagation locality, no-signaling sharing, single-metric readout, and universal coupling. Main Line B may serve as a continuous effective template only after those bridges are passed.</w:t>
      </w:r>
    </w:p>
    <w:p>
      <w:pPr>
        <w:pStyle w:val="Heading2"/>
      </w:pPr>
      <w:r>
        <w:t>Bridge-readout table</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2380"/>
            <w:shd w:fill="D9EAF7"/>
            <w:tcMar>
              <w:top w:w="100" w:type="dxa"/>
              <w:start w:w="120" w:type="dxa"/>
              <w:bottom w:w="100" w:type="dxa"/>
              <w:end w:w="120" w:type="dxa"/>
            </w:tcMar>
            <w:vAlign w:val="center"/>
          </w:tcPr>
          <w:p>
            <w:pPr>
              <w:jc w:val="center"/>
            </w:pPr>
            <w:r>
              <w:rPr>
                <w:b/>
              </w:rPr>
              <w:t>Bridge type</w:t>
            </w:r>
          </w:p>
        </w:tc>
        <w:tc>
          <w:tcPr>
            <w:tcW w:type="dxa" w:w="2380"/>
            <w:shd w:fill="D9EAF7"/>
            <w:tcMar>
              <w:top w:w="100" w:type="dxa"/>
              <w:start w:w="120" w:type="dxa"/>
              <w:bottom w:w="100" w:type="dxa"/>
              <w:end w:w="120" w:type="dxa"/>
            </w:tcMar>
            <w:vAlign w:val="center"/>
          </w:tcPr>
          <w:p>
            <w:pPr>
              <w:jc w:val="center"/>
            </w:pPr>
            <w:r>
              <w:rPr>
                <w:b/>
              </w:rPr>
              <w:t>Bottom-level readout</w:t>
            </w:r>
          </w:p>
        </w:tc>
        <w:tc>
          <w:tcPr>
            <w:tcW w:type="dxa" w:w="2380"/>
            <w:shd w:fill="D9EAF7"/>
            <w:tcMar>
              <w:top w:w="100" w:type="dxa"/>
              <w:start w:w="120" w:type="dxa"/>
              <w:bottom w:w="100" w:type="dxa"/>
              <w:end w:w="120" w:type="dxa"/>
            </w:tcMar>
            <w:vAlign w:val="center"/>
          </w:tcPr>
          <w:p>
            <w:pPr>
              <w:jc w:val="center"/>
            </w:pPr>
            <w:r>
              <w:rPr>
                <w:b/>
              </w:rPr>
              <w:t>Intermediate criterion</w:t>
            </w:r>
          </w:p>
        </w:tc>
        <w:tc>
          <w:tcPr>
            <w:tcW w:type="dxa" w:w="2380"/>
            <w:shd w:fill="D9EAF7"/>
            <w:tcMar>
              <w:top w:w="100" w:type="dxa"/>
              <w:start w:w="120" w:type="dxa"/>
              <w:bottom w:w="100" w:type="dxa"/>
              <w:end w:w="120" w:type="dxa"/>
            </w:tcMar>
            <w:vAlign w:val="center"/>
          </w:tcPr>
          <w:p>
            <w:pPr>
              <w:jc w:val="center"/>
            </w:pPr>
            <w:r>
              <w:rPr>
                <w:b/>
              </w:rPr>
              <w:t>High-level target template</w:t>
            </w:r>
          </w:p>
        </w:tc>
      </w:tr>
      <w:tr>
        <w:tc>
          <w:tcPr>
            <w:tcW w:type="dxa" w:w="2380"/>
            <w:tcMar>
              <w:top w:w="100" w:type="dxa"/>
              <w:start w:w="120" w:type="dxa"/>
              <w:bottom w:w="100" w:type="dxa"/>
              <w:end w:w="120" w:type="dxa"/>
            </w:tcMar>
            <w:vAlign w:val="center"/>
          </w:tcPr>
          <w:p>
            <w:pPr>
              <w:spacing w:after="0" w:before="0"/>
            </w:pPr>
            <w:r>
              <w:t>Dimensional bridge</w:t>
            </w:r>
          </w:p>
        </w:tc>
        <w:tc>
          <w:tcPr>
            <w:tcW w:type="dxa" w:w="2380"/>
            <w:tcMar>
              <w:top w:w="100" w:type="dxa"/>
              <w:start w:w="120" w:type="dxa"/>
              <w:bottom w:w="100" w:type="dxa"/>
              <w:end w:w="120" w:type="dxa"/>
            </w:tcMar>
            <w:vAlign w:val="center"/>
          </w:tcPr>
          <w:p>
            <w:pPr>
              <w:spacing w:after="0" w:before="0"/>
            </w:pPr>
            <w:r>
              <w:t>Effective rank, spectral gap, joint-spectrum plateau</w:t>
            </w:r>
          </w:p>
        </w:tc>
        <w:tc>
          <w:tcPr>
            <w:tcW w:type="dxa" w:w="2380"/>
            <w:tcMar>
              <w:top w:w="100" w:type="dxa"/>
              <w:start w:w="120" w:type="dxa"/>
              <w:bottom w:w="100" w:type="dxa"/>
              <w:end w:w="120" w:type="dxa"/>
            </w:tcMar>
            <w:vAlign w:val="center"/>
          </w:tcPr>
          <w:p>
            <w:pPr>
              <w:spacing w:after="0" w:before="0"/>
            </w:pPr>
            <w:r>
              <w:t>Rank-4 robustness</w:t>
            </w:r>
          </w:p>
        </w:tc>
        <w:tc>
          <w:tcPr>
            <w:tcW w:type="dxa" w:w="2380"/>
            <w:tcMar>
              <w:top w:w="100" w:type="dxa"/>
              <w:start w:w="120" w:type="dxa"/>
              <w:bottom w:w="100" w:type="dxa"/>
              <w:end w:w="120" w:type="dxa"/>
            </w:tcMar>
            <w:vAlign w:val="center"/>
          </w:tcPr>
          <w:p>
            <w:pPr>
              <w:spacing w:after="0" w:before="0"/>
            </w:pPr>
            <w:r>
              <w:t>Four-dimensional effective geometry</w:t>
            </w:r>
          </w:p>
        </w:tc>
      </w:tr>
      <w:tr>
        <w:tc>
          <w:tcPr>
            <w:tcW w:type="dxa" w:w="2380"/>
            <w:tcMar>
              <w:top w:w="100" w:type="dxa"/>
              <w:start w:w="120" w:type="dxa"/>
              <w:bottom w:w="100" w:type="dxa"/>
              <w:end w:w="120" w:type="dxa"/>
            </w:tcMar>
            <w:vAlign w:val="center"/>
          </w:tcPr>
          <w:p>
            <w:pPr>
              <w:spacing w:after="0" w:before="0"/>
            </w:pPr>
            <w:r>
              <w:t>Locality bridge</w:t>
            </w:r>
          </w:p>
        </w:tc>
        <w:tc>
          <w:tcPr>
            <w:tcW w:type="dxa" w:w="2380"/>
            <w:tcMar>
              <w:top w:w="100" w:type="dxa"/>
              <w:start w:w="120" w:type="dxa"/>
              <w:bottom w:w="100" w:type="dxa"/>
              <w:end w:w="120" w:type="dxa"/>
            </w:tcMar>
            <w:vAlign w:val="center"/>
          </w:tcPr>
          <w:p>
            <w:pPr>
              <w:spacing w:after="0" w:before="0"/>
            </w:pPr>
            <w:r>
              <w:t>Local response, propagation cost, accessibility shell</w:t>
            </w:r>
          </w:p>
        </w:tc>
        <w:tc>
          <w:tcPr>
            <w:tcW w:type="dxa" w:w="2380"/>
            <w:tcMar>
              <w:top w:w="100" w:type="dxa"/>
              <w:start w:w="120" w:type="dxa"/>
              <w:bottom w:w="100" w:type="dxa"/>
              <w:end w:w="120" w:type="dxa"/>
            </w:tcMar>
            <w:vAlign w:val="center"/>
          </w:tcPr>
          <w:p>
            <w:pPr>
              <w:spacing w:after="0" w:before="0"/>
            </w:pPr>
            <w:r>
              <w:t>Finite propagation hierarchy</w:t>
            </w:r>
          </w:p>
        </w:tc>
        <w:tc>
          <w:tcPr>
            <w:tcW w:type="dxa" w:w="2380"/>
            <w:tcMar>
              <w:top w:w="100" w:type="dxa"/>
              <w:start w:w="120" w:type="dxa"/>
              <w:bottom w:w="100" w:type="dxa"/>
              <w:end w:w="120" w:type="dxa"/>
            </w:tcMar>
            <w:vAlign w:val="center"/>
          </w:tcPr>
          <w:p>
            <w:pPr>
              <w:spacing w:after="0" w:before="0"/>
            </w:pPr>
            <w:r>
              <w:t>Effective local propagation</w:t>
            </w:r>
          </w:p>
        </w:tc>
      </w:tr>
      <w:tr>
        <w:tc>
          <w:tcPr>
            <w:tcW w:type="dxa" w:w="2380"/>
            <w:tcMar>
              <w:top w:w="100" w:type="dxa"/>
              <w:start w:w="120" w:type="dxa"/>
              <w:bottom w:w="100" w:type="dxa"/>
              <w:end w:w="120" w:type="dxa"/>
            </w:tcMar>
            <w:vAlign w:val="center"/>
          </w:tcPr>
          <w:p>
            <w:pPr>
              <w:spacing w:after="0" w:before="0"/>
            </w:pPr>
            <w:r>
              <w:t>No-signaling bridge</w:t>
            </w:r>
          </w:p>
        </w:tc>
        <w:tc>
          <w:tcPr>
            <w:tcW w:type="dxa" w:w="2380"/>
            <w:tcMar>
              <w:top w:w="100" w:type="dxa"/>
              <w:start w:w="120" w:type="dxa"/>
              <w:bottom w:w="100" w:type="dxa"/>
              <w:end w:w="120" w:type="dxa"/>
            </w:tcMar>
            <w:vAlign w:val="center"/>
          </w:tcPr>
          <w:p>
            <w:pPr>
              <w:spacing w:after="0" w:before="0"/>
            </w:pPr>
            <w:r>
              <w:t>Marginal stability, enhanced joint correlation</w:t>
            </w:r>
          </w:p>
        </w:tc>
        <w:tc>
          <w:tcPr>
            <w:tcW w:type="dxa" w:w="2380"/>
            <w:tcMar>
              <w:top w:w="100" w:type="dxa"/>
              <w:start w:w="120" w:type="dxa"/>
              <w:bottom w:w="100" w:type="dxa"/>
              <w:end w:w="120" w:type="dxa"/>
            </w:tcMar>
            <w:vAlign w:val="center"/>
          </w:tcPr>
          <w:p>
            <w:pPr>
              <w:spacing w:after="0" w:before="0"/>
            </w:pPr>
            <w:r>
              <w:t>Correlated but non-communicating</w:t>
            </w:r>
          </w:p>
        </w:tc>
        <w:tc>
          <w:tcPr>
            <w:tcW w:type="dxa" w:w="2380"/>
            <w:tcMar>
              <w:top w:w="100" w:type="dxa"/>
              <w:start w:w="120" w:type="dxa"/>
              <w:bottom w:w="100" w:type="dxa"/>
              <w:end w:w="120" w:type="dxa"/>
            </w:tcMar>
            <w:vAlign w:val="center"/>
          </w:tcPr>
          <w:p>
            <w:pPr>
              <w:spacing w:after="0" w:before="0"/>
            </w:pPr>
            <w:r>
              <w:t>Bell/no-signaling interface</w:t>
            </w:r>
          </w:p>
        </w:tc>
      </w:tr>
      <w:tr>
        <w:tc>
          <w:tcPr>
            <w:tcW w:type="dxa" w:w="2380"/>
            <w:tcMar>
              <w:top w:w="100" w:type="dxa"/>
              <w:start w:w="120" w:type="dxa"/>
              <w:bottom w:w="100" w:type="dxa"/>
              <w:end w:w="120" w:type="dxa"/>
            </w:tcMar>
            <w:vAlign w:val="center"/>
          </w:tcPr>
          <w:p>
            <w:pPr>
              <w:spacing w:after="0" w:before="0"/>
            </w:pPr>
            <w:r>
              <w:t>Single-metric bridge</w:t>
            </w:r>
          </w:p>
        </w:tc>
        <w:tc>
          <w:tcPr>
            <w:tcW w:type="dxa" w:w="2380"/>
            <w:tcMar>
              <w:top w:w="100" w:type="dxa"/>
              <w:start w:w="120" w:type="dxa"/>
              <w:bottom w:w="100" w:type="dxa"/>
              <w:end w:w="120" w:type="dxa"/>
            </w:tcMar>
            <w:vAlign w:val="center"/>
          </w:tcPr>
          <w:p>
            <w:pPr>
              <w:spacing w:after="0" w:before="0"/>
            </w:pPr>
            <w:r>
              <w:t>Consistency across probes</w:t>
            </w:r>
          </w:p>
        </w:tc>
        <w:tc>
          <w:tcPr>
            <w:tcW w:type="dxa" w:w="2380"/>
            <w:tcMar>
              <w:top w:w="100" w:type="dxa"/>
              <w:start w:w="120" w:type="dxa"/>
              <w:bottom w:w="100" w:type="dxa"/>
              <w:end w:w="120" w:type="dxa"/>
            </w:tcMar>
            <w:vAlign w:val="center"/>
          </w:tcPr>
          <w:p>
            <w:pPr>
              <w:spacing w:after="0" w:before="0"/>
            </w:pPr>
            <w:r>
              <w:t>Uniqueness of dominant structure</w:t>
            </w:r>
          </w:p>
        </w:tc>
        <w:tc>
          <w:tcPr>
            <w:tcW w:type="dxa" w:w="2380"/>
            <w:tcMar>
              <w:top w:w="100" w:type="dxa"/>
              <w:start w:w="120" w:type="dxa"/>
              <w:bottom w:w="100" w:type="dxa"/>
              <w:end w:w="120" w:type="dxa"/>
            </w:tcMar>
            <w:vAlign w:val="center"/>
          </w:tcPr>
          <w:p>
            <w:pPr>
              <w:spacing w:after="0" w:before="0"/>
            </w:pPr>
            <w:r>
              <w:t>Single-metric EFT template</w:t>
            </w:r>
          </w:p>
        </w:tc>
      </w:tr>
      <w:tr>
        <w:tc>
          <w:tcPr>
            <w:tcW w:type="dxa" w:w="2380"/>
            <w:tcMar>
              <w:top w:w="100" w:type="dxa"/>
              <w:start w:w="120" w:type="dxa"/>
              <w:bottom w:w="100" w:type="dxa"/>
              <w:end w:w="120" w:type="dxa"/>
            </w:tcMar>
            <w:vAlign w:val="center"/>
          </w:tcPr>
          <w:p>
            <w:pPr>
              <w:spacing w:after="0" w:before="0"/>
            </w:pPr>
            <w:r>
              <w:t>Universal-coupling bridge</w:t>
            </w:r>
          </w:p>
        </w:tc>
        <w:tc>
          <w:tcPr>
            <w:tcW w:type="dxa" w:w="2380"/>
            <w:tcMar>
              <w:top w:w="100" w:type="dxa"/>
              <w:start w:w="120" w:type="dxa"/>
              <w:bottom w:w="100" w:type="dxa"/>
              <w:end w:w="120" w:type="dxa"/>
            </w:tcMar>
            <w:vAlign w:val="center"/>
          </w:tcPr>
          <w:p>
            <w:pPr>
              <w:spacing w:after="0" w:before="0"/>
            </w:pPr>
            <w:r>
              <w:t>Joint invariants, conservation-like quantities</w:t>
            </w:r>
          </w:p>
        </w:tc>
        <w:tc>
          <w:tcPr>
            <w:tcW w:type="dxa" w:w="2380"/>
            <w:tcMar>
              <w:top w:w="100" w:type="dxa"/>
              <w:start w:w="120" w:type="dxa"/>
              <w:bottom w:w="100" w:type="dxa"/>
              <w:end w:w="120" w:type="dxa"/>
            </w:tcMar>
            <w:vAlign w:val="center"/>
          </w:tcPr>
          <w:p>
            <w:pPr>
              <w:spacing w:after="0" w:before="0"/>
            </w:pPr>
            <w:r>
              <w:t>Consistent coupling across excitations</w:t>
            </w:r>
          </w:p>
        </w:tc>
        <w:tc>
          <w:tcPr>
            <w:tcW w:type="dxa" w:w="2380"/>
            <w:tcMar>
              <w:top w:w="100" w:type="dxa"/>
              <w:start w:w="120" w:type="dxa"/>
              <w:bottom w:w="100" w:type="dxa"/>
              <w:end w:w="120" w:type="dxa"/>
            </w:tcMar>
            <w:vAlign w:val="center"/>
          </w:tcPr>
          <w:p>
            <w:pPr>
              <w:spacing w:after="0" w:before="0"/>
            </w:pPr>
            <w:r>
              <w:t>GR/matter interface candidate</w:t>
            </w:r>
          </w:p>
        </w:tc>
      </w:tr>
    </w:tbl>
    <w:p/>
    <w:p>
      <w:pPr>
        <w:pStyle w:val="Heading1"/>
      </w:pPr>
      <w:r>
        <w:t>7. Failure criteria, rollback mechanisms, and requirements for later toy models</w:t>
      </w:r>
    </w:p>
    <w:p>
      <w:pPr>
        <w:pStyle w:val="Heading2"/>
      </w:pPr>
      <w:r>
        <w:t>7.1 Why “failure” must be written into the main text</w:t>
      </w:r>
    </w:p>
    <w:p>
      <w:r>
        <w:t>A truly auditable theoretical project cannot only say what success would look like; it must also say under what conditions the proposal counts as a failure. Failure is not appendix material but a formal part of the mother-theory candidate. Only by acknowledging that the theory may fail can later toy-model work and bridge tests acquire credibility.</w:t>
      </w:r>
    </w:p>
    <w:p>
      <w:pPr>
        <w:pStyle w:val="Heading2"/>
      </w:pPr>
      <w:r>
        <w:t>7.2 Level-1 failure: failure at the object level</w:t>
      </w:r>
    </w:p>
    <w:p>
      <w:r>
        <w:t>If the six-part object set is not closed, if “sharing” remains merely rhetorical, if update rules cannot be localized, or if internal readout quantities cannot be defined, then the proposal fails already at the object level. In that case the project must stop at conceptual reconstruction and may not continue toward continuous interfaces.</w:t>
      </w:r>
    </w:p>
    <w:p>
      <w:pPr>
        <w:pStyle w:val="Heading2"/>
      </w:pPr>
      <w:r>
        <w:t>7.3 Level-2 failure: failure of toy-model computability</w:t>
      </w:r>
    </w:p>
    <w:p>
      <w:r>
        <w:t>If the theory cannot produce a finite-dimensional toy model, if all results depend on extreme fine-tuning and are not reproducible, if the relational-algebraic structure is too arbitrary, or if updates and constraints cannot be realized together, then the toy-model layer has failed.</w:t>
      </w:r>
    </w:p>
    <w:p>
      <w:pPr>
        <w:pStyle w:val="Heading2"/>
      </w:pPr>
      <w:r>
        <w:t>7.4 Level-3 failure: failure of the dimensional bridge</w:t>
      </w:r>
    </w:p>
    <w:p>
      <w:r>
        <w:t>If there is no stable rank-4 candidate region, if pathological regions dominate, or if different dimensional readouts strongly contradict one another, then one may not claim that there are already four-dimensional geometric signatures. Once this level fails, all continuous four-dimensional templates in Main Line B must be downgraded to external reference targets.</w:t>
      </w:r>
    </w:p>
    <w:p>
      <w:pPr>
        <w:pStyle w:val="Heading2"/>
      </w:pPr>
      <w:r>
        <w:t>7.5 Level-4 failure: failure of the no-signaling sharing bridge</w:t>
      </w:r>
    </w:p>
    <w:p>
      <w:r>
        <w:t>If shared interfaces cannot generate nontrivial correlations, or if strong correlations always come with operational superluminal signaling, or if no-signaling can be maintained only by after-the-fact tuning, then the no-signaling sharing bridge has failed. At that point all BNCFT language concerning Bell-type correlations and entanglement interfaces must return to the status of an unresolved problem.</w:t>
      </w:r>
    </w:p>
    <w:p>
      <w:pPr>
        <w:pStyle w:val="Heading2"/>
      </w:pPr>
      <w:r>
        <w:t>7.6 Level-5 failure: failure of single-metric readout</w:t>
      </w:r>
    </w:p>
    <w:p>
      <w:r>
        <w:t>If different probes read out different dominant geometries, if a single metric appears only for highly special probes, or if the geometric readout is extremely unstable under local perturbations, then the single-metric bridge has failed. In that case the GR-interface paper in Main Line B can remain only a target template.</w:t>
      </w:r>
    </w:p>
    <w:p>
      <w:pPr>
        <w:pStyle w:val="Heading2"/>
      </w:pPr>
      <w:r>
        <w:t>7.7 Level-6 failure: failure of universal coupling and conservation bridges</w:t>
      </w:r>
    </w:p>
    <w:p>
      <w:r>
        <w:t>If different excitations couple to different background variables, if there is no stable conservation-like structure, or if the matter interface can only be stitched on by extra ad hoc rules, then the universal-coupling/conservation bridge has failed. Even if a geometric phase exists locally, BNCFT still cannot claim unified structure at that stage.</w:t>
      </w:r>
    </w:p>
    <w:p>
      <w:pPr>
        <w:pStyle w:val="Heading2"/>
      </w:pPr>
      <w:r>
        <w:t>7.8 Rollback mechanism</w:t>
      </w:r>
    </w:p>
    <w:p>
      <w:r>
        <w:t>The paper proposes the following rollback logic: level-1 failure rolls back to conceptual reconstruction in A1; level-2 failure rolls back to toy-model design in A2; level-3 failure suspends all continuous four-dimensional interface expansion; level-4 failure suspends Bell/quantum-phenomenon interpretation papers; level-5 failure suspends the GR interface; and level-6 failure suspends any language of unification, retaining only the status of a local geometric-phase candidate. Failure should always roll back to the last genuinely stable layer rather than be bypassed.</w:t>
      </w:r>
    </w:p>
    <w:p>
      <w:pPr>
        <w:pStyle w:val="Heading2"/>
      </w:pPr>
      <w:r>
        <w:t>7.9 Minimum requirements for later toy models</w:t>
      </w:r>
    </w:p>
    <w:p>
      <w:r>
        <w:t>A2 and later toy-model papers should at minimum satisfy the following: they must be finite-dimensional and runnable; they must display both successful and failed regions; they must include perturbation-robustness tests; they must distinguish “signature” from “derivation”; and they must leave explicit interfaces for A3-A5, including rank-4 filtering, no-signaling checks, and single-metric consistency tests.</w:t>
      </w:r>
    </w:p>
    <w:p>
      <w:pPr>
        <w:pStyle w:val="Heading2"/>
      </w:pPr>
      <w:r>
        <w:t>7.10 Conclusion of this section</w:t>
      </w:r>
    </w:p>
    <w:p>
      <w:r>
        <w:t>A qualified BNCFT mother-theory candidate must write failure criteria into the body of the paper itself and pair them with rollback mechanisms and concrete toy-model requirements. Only then does A1 fully perform its role: it not only provides the minimal objects, relational algebra, and shared interfaces of the candidate mother theory, but also the decision rules, bridge goals, and rollback logic for the whole of Main Line A.</w:t>
      </w:r>
    </w:p>
    <w:p/>
    <w:p>
      <w:pPr>
        <w:pStyle w:val="Heading1"/>
      </w:pPr>
      <w:r>
        <w:t>Conclusion</w:t>
      </w:r>
    </w:p>
    <w:p>
      <w:pPr>
        <w:pStyle w:val="Heading2"/>
      </w:pPr>
      <w:r>
        <w:t>Overall conclusion</w:t>
      </w:r>
    </w:p>
    <w:p>
      <w:r>
        <w:t>The paper has now completed the core tasks that the opening manuscript of Main Line A must bear. On the one hand, it repositions the mother-theory candidate explicitly as a background-free discrete relational system together with its relational-algebraic structure, rather than as a continuous shared field. On the other hand, it compresses “sharing” from a general slogan into a four-layer interface structure consisting of common constraints, joint accessibility, joint response, and common invariants, and further fixes the boundaries of permissible language, bridge readout directions, coarse-graining goals, failure criteria, and rollback mechanisms. The conclusion of this paper is therefore not that “BNCFT has already derived higher-level physics,” but rather the more limited and rigorous statement that BNCFT, if it is to stand, must first pass a bridge verification route that is discrete, background-free, computable, and allowed to fail. The highest-priority next task is not to expand black-hole, cosmological, or phenomenological interfaces, but to enter “BNCFT Discrete Toy Model I: Near-Commuting Regions, Joint Spectra, and Effective Dimensionality” and force the objects, relations, constraints, shared interfaces, and bridge readouts proposed here to face judgment in a finite-dimensional toy model.</w:t>
      </w:r>
    </w:p>
    <w:p/>
    <w:sectPr w:rsidR="00FC693F" w:rsidRPr="0006063C" w:rsidSect="00034616">
      <w:footerReference w:type="default" r:id="rId9"/>
      <w:pgSz w:w="12240" w:h="15840"/>
      <w:pgMar w:top="1247" w:right="1247"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