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line="264" w:lineRule="auto"/>
        <w:jc w:val="center"/>
      </w:pPr>
      <w:r>
        <w:rPr>
          <w:rFonts w:ascii="Times New Roman" w:hAnsi="Times New Roman" w:eastAsia="Calibri"/>
          <w:b/>
          <w:color w:val="1F4E79"/>
          <w:sz w:val="42"/>
        </w:rPr>
        <w:t>BNCFT Discrete Toy Model I: Near-Commuting Regions, Joint Spectrum, and Effective Dimension</w:t>
      </w:r>
    </w:p>
    <w:p>
      <w:pPr>
        <w:spacing w:before="0" w:after="360" w:line="288" w:lineRule="auto"/>
        <w:jc w:val="center"/>
      </w:pPr>
      <w:r>
        <w:rPr>
          <w:i/>
          <w:color w:val="5A5A5A"/>
          <w:sz w:val="22"/>
        </w:rPr>
        <w:t>Formal Manuscript</w:t>
      </w:r>
    </w:p>
    <w:tbl>
      <w:tblPr>
        <w:tblStyle w:val="TableGrid"/>
        <w:tblW w:type="auto" w:w="0"/>
        <w:tblLook w:firstColumn="1" w:firstRow="1" w:lastColumn="0" w:lastRow="0" w:noHBand="0" w:noVBand="1" w:val="04A0"/>
      </w:tblPr>
      <w:tblGrid>
        <w:gridCol w:w="4702"/>
        <w:gridCol w:w="4702"/>
      </w:tblGrid>
      <w:tr>
        <w:tc>
          <w:tcPr>
            <w:tcW w:type="dxa" w:w="4702"/>
            <w:tcMar>
              <w:top w:w="120" w:type="dxa"/>
              <w:start w:w="140" w:type="dxa"/>
              <w:bottom w:w="120" w:type="dxa"/>
              <w:end w:w="140" w:type="dxa"/>
            </w:tcMar>
          </w:tcPr>
          <w:p>
            <w:pPr>
              <w:spacing w:before="0" w:after="0" w:line="288" w:lineRule="auto"/>
              <w:jc w:val="left"/>
            </w:pPr>
            <w:r>
              <w:rPr>
                <w:b/>
                <w:sz w:val="21"/>
              </w:rPr>
              <w:t>Version</w:t>
            </w:r>
          </w:p>
        </w:tc>
        <w:tc>
          <w:tcPr>
            <w:tcW w:type="dxa" w:w="4702"/>
            <w:tcMar>
              <w:top w:w="120" w:type="dxa"/>
              <w:start w:w="140" w:type="dxa"/>
              <w:bottom w:w="120" w:type="dxa"/>
              <w:end w:w="140" w:type="dxa"/>
            </w:tcMar>
          </w:tcPr>
          <w:p>
            <w:pPr>
              <w:spacing w:before="0" w:after="0" w:line="288" w:lineRule="auto"/>
              <w:jc w:val="left"/>
            </w:pPr>
            <w:r>
              <w:rPr>
                <w:b w:val="0"/>
                <w:sz w:val="21"/>
              </w:rPr>
              <w:t>v1.0</w:t>
            </w:r>
          </w:p>
        </w:tc>
      </w:tr>
      <w:tr>
        <w:tc>
          <w:tcPr>
            <w:tcW w:type="dxa" w:w="4702"/>
            <w:tcMar>
              <w:top w:w="120" w:type="dxa"/>
              <w:start w:w="140" w:type="dxa"/>
              <w:bottom w:w="120" w:type="dxa"/>
              <w:end w:w="140" w:type="dxa"/>
            </w:tcMar>
          </w:tcPr>
          <w:p>
            <w:pPr>
              <w:spacing w:before="0" w:after="0" w:line="288" w:lineRule="auto"/>
              <w:jc w:val="left"/>
            </w:pPr>
            <w:r>
              <w:rPr>
                <w:b/>
                <w:sz w:val="21"/>
              </w:rPr>
              <w:t>Date</w:t>
            </w:r>
          </w:p>
        </w:tc>
        <w:tc>
          <w:tcPr>
            <w:tcW w:type="dxa" w:w="4702"/>
            <w:tcMar>
              <w:top w:w="120" w:type="dxa"/>
              <w:start w:w="140" w:type="dxa"/>
              <w:bottom w:w="120" w:type="dxa"/>
              <w:end w:w="140" w:type="dxa"/>
            </w:tcMar>
          </w:tcPr>
          <w:p>
            <w:pPr>
              <w:spacing w:before="0" w:after="0" w:line="288" w:lineRule="auto"/>
              <w:jc w:val="left"/>
            </w:pPr>
            <w:r>
              <w:rPr>
                <w:b w:val="0"/>
                <w:sz w:val="21"/>
              </w:rPr>
              <w:t>2026-04-21</w:t>
            </w:r>
          </w:p>
        </w:tc>
      </w:tr>
      <w:tr>
        <w:tc>
          <w:tcPr>
            <w:tcW w:type="dxa" w:w="4702"/>
            <w:tcMar>
              <w:top w:w="120" w:type="dxa"/>
              <w:start w:w="140" w:type="dxa"/>
              <w:bottom w:w="120" w:type="dxa"/>
              <w:end w:w="140" w:type="dxa"/>
            </w:tcMar>
          </w:tcPr>
          <w:p>
            <w:pPr>
              <w:spacing w:before="0" w:after="0" w:line="288" w:lineRule="auto"/>
              <w:jc w:val="left"/>
            </w:pPr>
            <w:r>
              <w:rPr>
                <w:b/>
                <w:sz w:val="21"/>
              </w:rPr>
              <w:t>Project</w:t>
            </w:r>
          </w:p>
        </w:tc>
        <w:tc>
          <w:tcPr>
            <w:tcW w:type="dxa" w:w="4702"/>
            <w:tcMar>
              <w:top w:w="120" w:type="dxa"/>
              <w:start w:w="140" w:type="dxa"/>
              <w:bottom w:w="120" w:type="dxa"/>
              <w:end w:w="140" w:type="dxa"/>
            </w:tcMar>
          </w:tcPr>
          <w:p>
            <w:pPr>
              <w:spacing w:before="0" w:after="0" w:line="288" w:lineRule="auto"/>
              <w:jc w:val="left"/>
            </w:pPr>
            <w:r>
              <w:rPr>
                <w:b w:val="0"/>
                <w:sz w:val="21"/>
              </w:rPr>
              <w:t>BNCFT Main Line A</w:t>
            </w:r>
          </w:p>
        </w:tc>
      </w:tr>
      <w:tr>
        <w:tc>
          <w:tcPr>
            <w:tcW w:type="dxa" w:w="4702"/>
            <w:tcMar>
              <w:top w:w="120" w:type="dxa"/>
              <w:start w:w="140" w:type="dxa"/>
              <w:bottom w:w="120" w:type="dxa"/>
              <w:end w:w="140" w:type="dxa"/>
            </w:tcMar>
          </w:tcPr>
          <w:p>
            <w:pPr>
              <w:spacing w:before="0" w:after="0" w:line="288" w:lineRule="auto"/>
              <w:jc w:val="left"/>
            </w:pPr>
            <w:r>
              <w:rPr>
                <w:b/>
                <w:sz w:val="21"/>
              </w:rPr>
              <w:t>Document Type</w:t>
            </w:r>
          </w:p>
        </w:tc>
        <w:tc>
          <w:tcPr>
            <w:tcW w:type="dxa" w:w="4702"/>
            <w:tcMar>
              <w:top w:w="120" w:type="dxa"/>
              <w:start w:w="140" w:type="dxa"/>
              <w:bottom w:w="120" w:type="dxa"/>
              <w:end w:w="140" w:type="dxa"/>
            </w:tcMar>
          </w:tcPr>
          <w:p>
            <w:pPr>
              <w:spacing w:before="0" w:after="0" w:line="288" w:lineRule="auto"/>
              <w:jc w:val="left"/>
            </w:pPr>
            <w:r>
              <w:rPr>
                <w:b w:val="0"/>
                <w:sz w:val="21"/>
              </w:rPr>
              <w:t>Formal manuscript</w:t>
            </w:r>
          </w:p>
        </w:tc>
      </w:tr>
      <w:tr>
        <w:tc>
          <w:tcPr>
            <w:tcW w:type="dxa" w:w="4702"/>
            <w:tcMar>
              <w:top w:w="120" w:type="dxa"/>
              <w:start w:w="140" w:type="dxa"/>
              <w:bottom w:w="120" w:type="dxa"/>
              <w:end w:w="140" w:type="dxa"/>
            </w:tcMar>
          </w:tcPr>
          <w:p>
            <w:pPr>
              <w:spacing w:before="0" w:after="0" w:line="288" w:lineRule="auto"/>
              <w:jc w:val="left"/>
            </w:pPr>
            <w:r>
              <w:rPr>
                <w:b/>
                <w:sz w:val="21"/>
              </w:rPr>
              <w:t>Status</w:t>
            </w:r>
          </w:p>
        </w:tc>
        <w:tc>
          <w:tcPr>
            <w:tcW w:type="dxa" w:w="4702"/>
            <w:tcMar>
              <w:top w:w="120" w:type="dxa"/>
              <w:start w:w="140" w:type="dxa"/>
              <w:bottom w:w="120" w:type="dxa"/>
              <w:end w:w="140" w:type="dxa"/>
            </w:tcMar>
          </w:tcPr>
          <w:p>
            <w:pPr>
              <w:spacing w:before="0" w:after="0" w:line="288" w:lineRule="auto"/>
              <w:jc w:val="left"/>
            </w:pPr>
            <w:r>
              <w:rPr>
                <w:b w:val="0"/>
                <w:sz w:val="21"/>
              </w:rPr>
              <w:t>Draft for submission</w:t>
            </w:r>
          </w:p>
        </w:tc>
      </w:tr>
    </w:tbl>
    <w:p>
      <w:r>
        <w:br w:type="page"/>
      </w:r>
    </w:p>
    <w:p>
      <w:pPr>
        <w:pStyle w:val="Heading1"/>
      </w:pPr>
      <w:r>
        <w:t>Contents</w:t>
      </w:r>
    </w:p>
    <w:p>
      <w:r>
        <w:fldChar w:fldCharType="begin"/>
        <w:instrText xml:space="preserve">TOC \o "1-3" \h \z \u</w:instrText>
        <w:fldChar w:fldCharType="separate"/>
        <w:fldChar w:fldCharType="end"/>
      </w:r>
    </w:p>
    <w:p>
      <w:r>
        <w:br w:type="page"/>
      </w:r>
    </w:p>
    <w:p>
      <w:pPr>
        <w:pStyle w:val="Heading1"/>
      </w:pPr>
      <w:r>
        <w:t>Abstract</w:t>
      </w:r>
    </w:p>
    <w:p>
      <w:pPr>
        <w:spacing w:before="0" w:after="100" w:line="331" w:lineRule="auto"/>
      </w:pPr>
      <w:r>
        <w:t>This document develops the first finite-dimensional toy model under BNCFT Main Line A, following the background-free, discrete, and falsifiable framework established in A1. It asks whether repeatable near-commuting regions, joint-spectrum structure, and effective-dimension candidates can emerge in some parameter ranges of a finite relation-algebra model.</w:t>
      </w:r>
    </w:p>
    <w:p>
      <w:pPr>
        <w:spacing w:before="0" w:after="100" w:line="331" w:lineRule="auto"/>
      </w:pPr>
      <w:r>
        <w:t>The purpose is not to claim that four-dimensional spacetime has been derived, nor to directly establish a continuous interface to general relativity or quantum theory. The purpose is narrower and more operational: to provide a minimal computable worksite on which one can test whether a background-free relation algebra may display stable near-geometric signatures, whether such signatures correspond to a low-rank principal subspace, and whether a rank-4 candidate region is robust rather than fine-tuned.</w:t>
      </w:r>
    </w:p>
    <w:p>
      <w:pPr>
        <w:spacing w:before="0" w:after="100" w:line="331" w:lineRule="auto"/>
      </w:pPr>
      <w:r>
        <w:t>Keywords: BNCFT; discrete toy model; near-commuting region; joint spectrum; effective dimension; rank-4 candidate; background-free relation algebra</w:t>
      </w:r>
    </w:p>
    <w:p>
      <w:pPr>
        <w:pStyle w:val="Heading1"/>
      </w:pPr>
      <w:r>
        <w:t>0. Positioning, firewall rules, and scope</w:t>
      </w:r>
    </w:p>
    <w:p>
      <w:pPr>
        <w:pStyle w:val="Heading2"/>
      </w:pPr>
      <w:r>
        <w:t>0.1 Positioning</w:t>
      </w:r>
    </w:p>
    <w:p>
      <w:pPr>
        <w:spacing w:before="0" w:after="100" w:line="331" w:lineRule="auto"/>
      </w:pPr>
      <w:r>
        <w:t>This document is the first toy-model manuscript of BNCFT Main Line A. A1 established the six-tuple framework, shared-interface language, failure hierarchy, and rollback discipline. A2 takes the next step by constructing a finite-dimensional, computable, and fail-capable toy model for the first direct examination of the dimension bridge.</w:t>
      </w:r>
    </w:p>
    <w:p>
      <w:pPr>
        <w:pStyle w:val="Heading2"/>
      </w:pPr>
      <w:r>
        <w:t>0.2 Firewall rules</w:t>
      </w:r>
    </w:p>
    <w:p>
      <w:pPr>
        <w:spacing w:before="0" w:after="100" w:line="331" w:lineRule="auto"/>
      </w:pPr>
      <w:r>
        <w:t>This manuscript inherits the three firewall rules from A1: no preset continuous background, no continuous shared field as a basic object, and no overclaiming from toy-model readouts to high-level theory.</w:t>
      </w:r>
    </w:p>
    <w:p>
      <w:pPr>
        <w:pStyle w:val="Heading2"/>
      </w:pPr>
      <w:r>
        <w:t>0.3 Minimum deliverables</w:t>
      </w:r>
    </w:p>
    <w:p>
      <w:pPr>
        <w:spacing w:before="0" w:after="100" w:line="331" w:lineRule="auto"/>
      </w:pPr>
      <w:r>
        <w:t>The manuscript must provide an explicit finite toy model, generator and update definitions, near-commuting readouts, joint-spectrum and effective-dimension readouts, a scan protocol that separates strong, fragile, and bad regions, and a direct mapping to the Main Line A failure hierarchy.</w:t>
      </w:r>
    </w:p>
    <w:p>
      <w:pPr>
        <w:pStyle w:val="Heading1"/>
      </w:pPr>
      <w:r>
        <w:t>1. Why Main Line A must begin with a finite-dimensional toy model</w:t>
      </w:r>
    </w:p>
    <w:p>
      <w:pPr>
        <w:pStyle w:val="Heading2"/>
      </w:pPr>
      <w:r>
        <w:t>1.1 From constitution to construction</w:t>
      </w:r>
    </w:p>
    <w:p>
      <w:pPr>
        <w:spacing w:before="0" w:after="100" w:line="331" w:lineRule="auto"/>
      </w:pPr>
      <w:r>
        <w:t>A1 completed the constitutional layer of Main Line A, but a theory that stops there can still be criticized as disciplined yet non-computational. A2 must therefore turn the conceptual framework into a concrete worksite where success, fragility, and failure can all be exhibited.</w:t>
      </w:r>
    </w:p>
    <w:p>
      <w:pPr>
        <w:pStyle w:val="Heading2"/>
      </w:pPr>
      <w:r>
        <w:t>1.2 Why finite-dimensional first</w:t>
      </w:r>
    </w:p>
    <w:p>
      <w:pPr>
        <w:spacing w:before="0" w:after="100" w:line="331" w:lineRule="auto"/>
      </w:pPr>
      <w:r>
        <w:t>Finite-dimensional models are the most auditable, the easiest place to expose failure modes, the most natural setting for bridge readouts such as commutators and principal subspaces, and the cleanest foundation for later scaling.</w:t>
      </w:r>
    </w:p>
    <w:p>
      <w:pPr>
        <w:pStyle w:val="Heading2"/>
      </w:pPr>
      <w:r>
        <w:t>1.3 The operative strategy</w:t>
      </w:r>
    </w:p>
    <w:p>
      <w:pPr>
        <w:spacing w:before="0" w:after="100" w:line="331" w:lineRule="auto"/>
      </w:pPr>
      <w:r>
        <w:t>The first toy model is not required to look like the world. It is required to be judgeable. The first questions are whether a near-commuting region forms, whether joint-spectral clustering appears, whether a stable effective-dimension candidate can be read out, and whether one can separate success regions from bad and deceptive ones.</w:t>
      </w:r>
    </w:p>
    <w:p>
      <w:pPr>
        <w:pStyle w:val="Heading1"/>
      </w:pPr>
      <w:r>
        <w:t>2. Minimal object table and generator choice</w:t>
      </w:r>
    </w:p>
    <w:p>
      <w:pPr>
        <w:pStyle w:val="Heading2"/>
      </w:pPr>
      <w:r>
        <w:t>2.1 Finite-dimensional realization</w:t>
      </w:r>
    </w:p>
    <w:p>
      <w:pPr>
        <w:spacing w:before="0" w:after="100" w:line="331" w:lineRule="auto"/>
      </w:pPr>
      <w:r>
        <w:t>The toy system is written as a finite realization of the A1 structure: objects, relation generators, state labels, constraints, local updates, and readouts. The first recommended scale is N=8 or N=10, with N=8 used as the first explicit demonstration size.</w:t>
      </w:r>
    </w:p>
    <w:p>
      <w:pPr>
        <w:pStyle w:val="Heading2"/>
      </w:pPr>
      <w:r>
        <w:t>2.2 Three generator classes</w:t>
      </w:r>
    </w:p>
    <w:p>
      <w:pPr>
        <w:spacing w:before="0" w:after="100" w:line="331" w:lineRule="auto"/>
      </w:pPr>
      <w:r>
        <w:t>The first version uses three generator classes: a backbone generator, a shared-constraint generator, and a response-propagation generator. This is the smallest structure that still supports nontrivial commutators, shared-interface structure, and downstream consistency checks.</w:t>
      </w:r>
    </w:p>
    <w:p>
      <w:pPr>
        <w:pStyle w:val="Heading2"/>
      </w:pPr>
      <w:r>
        <w:t>2.3 Representation class</w:t>
      </w:r>
    </w:p>
    <w:p>
      <w:pPr>
        <w:spacing w:before="0" w:after="100" w:line="331" w:lineRule="auto"/>
      </w:pPr>
      <w:r>
        <w:t>To make spectral analysis and principal-subspace comparison clean, the first version restricts attention to real symmetric or Hermitian generators. This is a technical restriction for auditability, not a hidden insertion of a continuous or quantum starting point.</w:t>
      </w:r>
    </w:p>
    <w:p>
      <w:pPr>
        <w:pStyle w:val="Heading2"/>
      </w:pPr>
      <w:r>
        <w:t>2.4 Parameterization</w:t>
      </w:r>
    </w:p>
    <w:p>
      <w:pPr>
        <w:spacing w:before="0" w:after="100" w:line="331" w:lineRule="auto"/>
      </w:pPr>
      <w:r>
        <w:t>Each generator is written as a base template plus a local perturbation term and a noncommutativity-enhancing term, governed by generator weights, overall noncommutativity, sparsity, and local-update noise. Crucially, the number 4 is not inserted into the input architecture; a rank-4 region must be read out rather than built in.</w:t>
      </w:r>
    </w:p>
    <w:p>
      <w:pPr>
        <w:pStyle w:val="Heading1"/>
      </w:pPr>
      <w:r>
        <w:t>3. Local updates, compatibility constraints, and screening functional</w:t>
      </w:r>
    </w:p>
    <w:p>
      <w:pPr>
        <w:pStyle w:val="Heading2"/>
      </w:pPr>
      <w:r>
        <w:t>3.1 Updates and constraints must be co-defined</w:t>
      </w:r>
    </w:p>
    <w:p>
      <w:pPr>
        <w:spacing w:before="0" w:after="100" w:line="331" w:lineRule="auto"/>
      </w:pPr>
      <w:r>
        <w:t>A static family of matrices is not enough, because one then has no controlled notion of response, stability, or edge readouts. Conversely, updates without constraints reduce the system to arbitrary rewrites. A real toy model must keep updates and constraints in tension.</w:t>
      </w:r>
    </w:p>
    <w:p>
      <w:pPr>
        <w:pStyle w:val="Heading2"/>
      </w:pPr>
      <w:r>
        <w:t>3.2 Local update rule</w:t>
      </w:r>
    </w:p>
    <w:p>
      <w:pPr>
        <w:spacing w:before="0" w:after="100" w:line="331" w:lineRule="auto"/>
      </w:pPr>
      <w:r>
        <w:t>A local update acts on a finite support set and modifies generator entries only inside that support and a finite relation closure. Update amplitudes are bounded, representation type is preserved, and the update sequence is finite-step rather than time-continuous.</w:t>
      </w:r>
    </w:p>
    <w:p>
      <w:pPr>
        <w:pStyle w:val="Heading2"/>
      </w:pPr>
      <w:r>
        <w:t>3.3 Minimum constraint set</w:t>
      </w:r>
    </w:p>
    <w:p>
      <w:pPr>
        <w:spacing w:before="0" w:after="100" w:line="331" w:lineRule="auto"/>
      </w:pPr>
      <w:r>
        <w:t>The first version of A2 imposes three minimum constraints: sparsity, bounded spectral scale, and shared-consistency. Sparsity prevents the backbone from degenerating into an almost fully connected matrix sea; bounded spectral scale prevents one generator from trivially dominating the others; and shared-consistency reserves a minimum structural slot for the later no-signalling analysis in A4. To avoid interpreting shared response as unconstrained remote controllability, A2 adopts the following weak operational template. Let X and Y be disjoint local subsystems, let u_X be an allowed local update acting on X, let J_XY be a joint-correlation readout on X∪Y, and let O_Y^marginal be a marginal readout on Y. Then the first toy model requires at least the weak-form condition that |Δ_{u_X} J_XY| may be appreciably nonzero while |Δ_{u_X} O_Y^marginal| remains bounded by a small threshold ε_marg. This is not yet a no-signalling theorem. It is only the minimum construction slot needed in A2: local updates may modify joint-correlation structure, but they should not automatically induce remote marginal drift of the same order. Parameter regions that rely on large marginal drift in order to sustain correlation enhancement should therefore be flagged as dangerous pseudo-success regions and prioritized for A4 review.</w:t>
      </w:r>
    </w:p>
    <w:p>
      <w:pPr>
        <w:pStyle w:val="Heading2"/>
      </w:pPr>
      <w:r>
        <w:t>3.4 Screening functional</w:t>
      </w:r>
    </w:p>
    <w:p>
      <w:pPr>
        <w:spacing w:before="0" w:after="100" w:line="331" w:lineRule="auto"/>
      </w:pPr>
      <w:r>
        <w:t>A composite screening functional is introduced to distinguish more stable from more pathological parameter regions. It aggregates commutator cost, spectral fragmentation, principal-subspace instability, multi-probe splitting, and remote marginal drift. It is explicitly a screening device rather than a physical action.</w:t>
      </w:r>
    </w:p>
    <w:p>
      <w:r>
        <w:t>The screening functional in A2 is not introduced as a unique scalar objective to be minimized. It plays, first of all, the role of a transparent filtering framework. Accordingly, two uses are allowed in parallel. One may treat E as a weighted scalar screening device with explicitly reported reference weights {w_i}; or one may treat (E_comm, E_frag, E_unstable, E_split, E_marg) as a multicomponent screening vector and analyze dominance and trade-off structure directly. Weight sensitivity must itself be counted as an auxiliary robustness check: if the region classification changes drastically under small weight perturbations, that region should be treated as fragile rather than successful.</w:t>
      </w:r>
    </w:p>
    <w:p>
      <w:pPr>
        <w:pStyle w:val="Heading1"/>
      </w:pPr>
      <w:r>
        <w:t>4. Near-commuting regions and their readouts</w:t>
      </w:r>
    </w:p>
    <w:p>
      <w:pPr>
        <w:pStyle w:val="Heading2"/>
      </w:pPr>
      <w:r>
        <w:t>4.1 First gate</w:t>
      </w:r>
    </w:p>
    <w:p>
      <w:pPr>
        <w:spacing w:before="0" w:after="100" w:line="331" w:lineRule="auto"/>
      </w:pPr>
      <w:r>
        <w:t>A dimension bridge has little chance of succeeding if the generator family is strongly noncommuting everywhere. Near-commuting is therefore treated as the first gate rather than the final destination.</w:t>
      </w:r>
    </w:p>
    <w:p>
      <w:pPr>
        <w:pStyle w:val="Heading2"/>
      </w:pPr>
      <w:r>
        <w:t>4.2 Total commutator cost</w:t>
      </w:r>
    </w:p>
    <w:p>
      <w:pPr>
        <w:spacing w:before="0" w:after="100" w:line="331" w:lineRule="auto"/>
      </w:pPr>
      <w:r>
        <w:t>A normalized commutator cost is defined from all pairwise generator commutators. Normalization prevents one generator from appearing artificially well-behaved only because its overall scale is tiny.</w:t>
      </w:r>
    </w:p>
    <w:p>
      <w:pPr>
        <w:pStyle w:val="Heading2"/>
      </w:pPr>
      <w:r>
        <w:t>4.3 One number is not enough</w:t>
      </w:r>
    </w:p>
    <w:p>
      <w:pPr>
        <w:spacing w:before="0" w:after="100" w:line="331" w:lineRule="auto"/>
      </w:pPr>
      <w:r>
        <w:t>Average commutator suppression is insufficient by itself. One must also track maximal commutator cost and the dispersion of pairwise costs.</w:t>
      </w:r>
    </w:p>
    <w:p>
      <w:pPr>
        <w:pStyle w:val="Heading2"/>
      </w:pPr>
      <w:r>
        <w:t>4.4 Local versus global near-commuting</w:t>
      </w:r>
    </w:p>
    <w:p>
      <w:pPr>
        <w:spacing w:before="0" w:after="100" w:line="331" w:lineRule="auto"/>
      </w:pPr>
      <w:r>
        <w:t>The analysis should distinguish global near-commuting from local near-commuting. Both levels matter for later coarse graining.</w:t>
      </w:r>
    </w:p>
    <w:p>
      <w:pPr>
        <w:pStyle w:val="Heading1"/>
      </w:pPr>
      <w:r>
        <w:t>5. Joint-spectrum structure and effective-dimension candidates</w:t>
      </w:r>
    </w:p>
    <w:p>
      <w:pPr>
        <w:pStyle w:val="Heading2"/>
      </w:pPr>
      <w:r>
        <w:t>5.1 Why no single dimension definition is accepted</w:t>
      </w:r>
    </w:p>
    <w:p>
      <w:pPr>
        <w:spacing w:before="0" w:after="100" w:line="331" w:lineRule="auto"/>
      </w:pPr>
      <w:r>
        <w:t>A2 refuses to identify “the dimension” with a single favorite number. Effective dimension is treated as a multi-readout consistency problem.</w:t>
      </w:r>
    </w:p>
    <w:p>
      <w:pPr>
        <w:pStyle w:val="Heading2"/>
      </w:pPr>
      <w:r>
        <w:t>5.2 Joint-spectrum signatures</w:t>
      </w:r>
    </w:p>
    <w:p>
      <w:pPr>
        <w:spacing w:before="0" w:after="100" w:line="331" w:lineRule="auto"/>
      </w:pPr>
      <w:r>
        <w:t>Strict simultaneous diagonalization is not required. Instead, the model looks for high overlap among principal subspaces, similar spectral clustering across generators, and stability of this structure under perturbation.</w:t>
      </w:r>
    </w:p>
    <w:p>
      <w:pPr>
        <w:pStyle w:val="Heading2"/>
      </w:pPr>
      <w:r>
        <w:t>5.3 Effective-dimension vector</w:t>
      </w:r>
    </w:p>
    <w:p>
      <w:pPr>
        <w:spacing w:before="0" w:after="100" w:line="331" w:lineRule="auto"/>
      </w:pPr>
      <w:r>
        <w:t>The effective-dimension candidate is written as a vector containing participation-ratio dimension, spectral-gap dimension, stability-based dimension, and cross-probe consistency dimension. A rank-4 candidate is meaningful only when these components cluster near 4 together and remain stable.</w:t>
      </w:r>
    </w:p>
    <w:p>
      <w:r>
        <w:t>In A2, 'multi-probe' refers first of all to readouts induced by the different relation generators R^(1), R^(2), and R^(3). If needed, the notion may later be extended to comparisons across different local subsystems or coarse-graining windows of the same generator. The point of the present definition is to prevent any single generator from carrying the entire burden of a rank-4 claim. As a schematic operational criterion, a rank-4 candidate neighborhood may be recorded when all four components of the effective-dimension vector remain within a tolerance band [4-ε_D, 4+ε_D] over a parameter neighborhood, and when the principal-subspace overlaps across probes remain above a fixed threshold ξ_0. In A2, ε_D and ξ_0 are symbolic tolerances only; their statistical calibration belongs to A3.</w:t>
      </w:r>
    </w:p>
    <w:p>
      <w:pPr>
        <w:pStyle w:val="Heading1"/>
      </w:pPr>
      <w:r>
        <w:t>6. Parameter scans: success, fragile, and pathological regions</w:t>
      </w:r>
    </w:p>
    <w:p>
      <w:pPr>
        <w:pStyle w:val="Heading2"/>
      </w:pPr>
      <w:r>
        <w:t>6.1 Why scanning is central</w:t>
      </w:r>
    </w:p>
    <w:p>
      <w:pPr>
        <w:spacing w:before="0" w:after="100" w:line="331" w:lineRule="auto"/>
      </w:pPr>
      <w:r>
        <w:t>A2 must not be reduced to one attractive parameter point. Scanning is the core adjudication mechanism because it reveals whether apparent structure occupies a robust region, a fragile sliver, or merely a deceptive isolated point.</w:t>
      </w:r>
    </w:p>
    <w:p>
      <w:pPr>
        <w:pStyle w:val="Heading2"/>
      </w:pPr>
      <w:r>
        <w:t>6.2 Primary scan axes</w:t>
      </w:r>
    </w:p>
    <w:p>
      <w:pPr>
        <w:spacing w:before="0" w:after="100" w:line="331" w:lineRule="auto"/>
      </w:pPr>
      <w:r>
        <w:t>The first scan should focus especially on overall noncommutativity and local-update noise, alongside generator weights and sparsity. A candidate region that exists only in a nearly frozen limit should not be treated as robust.</w:t>
      </w:r>
    </w:p>
    <w:p>
      <w:pPr>
        <w:pStyle w:val="Heading2"/>
      </w:pPr>
      <w:r>
        <w:t>6.3 Readout bundle</w:t>
      </w:r>
    </w:p>
    <w:p>
      <w:pPr>
        <w:spacing w:before="0" w:after="100" w:line="331" w:lineRule="auto"/>
      </w:pPr>
      <w:r>
        <w:t>The scan must report at least five classes of quantities together: near-commuting diagnostics, joint-spectrum overlap, effective-dimension vector, multi-probe splitting, and remote marginal stability.</w:t>
      </w:r>
    </w:p>
    <w:p>
      <w:pPr>
        <w:pStyle w:val="Heading2"/>
      </w:pPr>
      <w:r>
        <w:t>6.4 Success region</w:t>
      </w:r>
    </w:p>
    <w:p>
      <w:pPr>
        <w:spacing w:before="0" w:after="100" w:line="331" w:lineRule="auto"/>
      </w:pPr>
      <w:r>
        <w:t>A success region is a parameter neighborhood, not a point. It requires stable near-commuting behavior, coherent joint-spectrum structure, a rank-4 candidate platform across the effective-dimension vector, controlled multi-probe splitting, and remote marginal drift that stays small relative to joint-correlation enhancement.</w:t>
      </w:r>
    </w:p>
    <w:p>
      <w:pPr>
        <w:pStyle w:val="Heading2"/>
      </w:pPr>
      <w:r>
        <w:t>6.5 Fragile region</w:t>
      </w:r>
    </w:p>
    <w:p>
      <w:pPr>
        <w:spacing w:before="0" w:after="100" w:line="331" w:lineRule="auto"/>
      </w:pPr>
      <w:r>
        <w:t>A fragile region exhibits good-looking signatures only under fine tuning, only for one probe, only under almost vanishing noise, or only before local updates are applied. Such regions are valuable as clues but not yet as bridge support.</w:t>
      </w:r>
    </w:p>
    <w:p>
      <w:pPr>
        <w:pStyle w:val="Heading2"/>
      </w:pPr>
      <w:r>
        <w:t>6.6 Pathological region</w:t>
      </w:r>
    </w:p>
    <w:p>
      <w:pPr>
        <w:spacing w:before="0" w:after="100" w:line="331" w:lineRule="auto"/>
      </w:pPr>
      <w:r>
        <w:t>A pathological region is one in which large commutators dominate, spectra fragment, principal subspaces jump under small perturbations, probes disagree, or remote marginals drift too strongly. A2 must explicitly show such regions.</w:t>
      </w:r>
    </w:p>
    <w:p>
      <w:r>
        <w:t>A2 does not attempt to lock all quantitative thresholds at once, but it must already place the quantification problem on the table. A3 will refine at least the following issues: whether 'pathology dominates' should be measured by the parameter-space volume fraction of pathological regions, by the proportion of representative pathological clusters, or by the frequency of over-threshold pathological readouts; whether disagreement among dimension readouts should be quantified by dispersion of the effective-dimension vector, by cross-probe standard deviation, or by low principal-subspace overlap; and whether robust rank-4 should be quantified by the frequency and stability radius with which the effective-dimension vector remains inside a tolerance neighborhood around 4.</w:t>
      </w:r>
    </w:p>
    <w:p>
      <w:pPr>
        <w:pStyle w:val="Heading2"/>
      </w:pPr>
      <w:r>
        <w:t>6.7 Dangerous pseudo-success</w:t>
      </w:r>
    </w:p>
    <w:p>
      <w:pPr>
        <w:spacing w:before="0" w:after="100" w:line="331" w:lineRule="auto"/>
      </w:pPr>
      <w:r>
        <w:t>A dangerous pseudo-success region is one with an attractive rank-4 signature that is accompanied by significant remote marginal drift. Such regions must be flagged early.</w:t>
      </w:r>
    </w:p>
    <w:p>
      <w:pPr>
        <w:pStyle w:val="Heading1"/>
      </w:pPr>
      <w:r>
        <w:t>7. Acceptance criteria and mapping to A1 failure levels</w:t>
      </w:r>
    </w:p>
    <w:p>
      <w:pPr>
        <w:pStyle w:val="Heading2"/>
      </w:pPr>
      <w:r>
        <w:t>7.1 Why A2 must map back to A1</w:t>
      </w:r>
    </w:p>
    <w:p>
      <w:pPr>
        <w:spacing w:before="0" w:after="100" w:line="331" w:lineRule="auto"/>
      </w:pPr>
      <w:r>
        <w:t>A2 is a construction piece within Main Line A. Its acceptance criteria must therefore map directly onto the failure hierarchy already fixed in A1.</w:t>
      </w:r>
    </w:p>
    <w:p>
      <w:pPr>
        <w:pStyle w:val="Heading2"/>
      </w:pPr>
      <w:r>
        <w:t>7.2 Mapping to level-2 failure</w:t>
      </w:r>
    </w:p>
    <w:p>
      <w:pPr>
        <w:spacing w:before="0" w:after="100" w:line="331" w:lineRule="auto"/>
      </w:pPr>
      <w:r>
        <w:t>A2 avoids level-2 failure only if it provides an explicit finite-dimensional model, an executable scan protocol, side-by-side display of strong and bad regions, and enough formal detail for independent replication in principle.</w:t>
      </w:r>
    </w:p>
    <w:p>
      <w:pPr>
        <w:pStyle w:val="Heading2"/>
      </w:pPr>
      <w:r>
        <w:t>7.3 Mapping to level-3 failure</w:t>
      </w:r>
    </w:p>
    <w:p>
      <w:pPr>
        <w:spacing w:before="0" w:after="100" w:line="331" w:lineRule="auto"/>
      </w:pPr>
      <w:r>
        <w:t>The core task of A2 is to confront level-3 failure, namely the possible failure of the dimension bridge. To keep this from remaining a purely verbal criterion, A2 already formulates the quantification problem while leaving its final statistical calibration to A3. At the A2 stage, level-3 failure arises when no rank-4 candidate neighborhood exists at all, when apparent rank-4 appears only at isolated fine-tuned points and does not extend to a neighborhood, or when readouts that seem close to 4 are mutually incompatible across components of the effective-dimension vector, across probes, or across principal-subspace overlaps. A3 may later sharpen this into statistics such as the volume fraction of rank-4 candidate regions, upper bounds on readout dispersion, minimum stable overlap thresholds, and stability radii under representative local updates. Thus A2 fixes the structural trigger conditions, while A3 performs the robustness adjudication.</w:t>
      </w:r>
    </w:p>
    <w:p>
      <w:pPr>
        <w:pStyle w:val="Heading2"/>
      </w:pPr>
      <w:r>
        <w:t>7.4 Forward interface to level-4 failure</w:t>
      </w:r>
    </w:p>
    <w:p>
      <w:pPr>
        <w:spacing w:before="0" w:after="100" w:line="331" w:lineRule="auto"/>
      </w:pPr>
      <w:r>
        <w:t>A2 does not solve the no-signalling problem, but it must define both joint-correlation readouts and remote marginal readouts, and it must distinguish enhancement of correlations from drift of marginals.</w:t>
      </w:r>
    </w:p>
    <w:p>
      <w:r>
        <w:t>In particular, any parameter cluster that is marked in A2 as a dangerous pseudo-success region must be prioritized for the no-signalling review in A4 rather than provisionally counted as support for the dimension bridge.</w:t>
      </w:r>
    </w:p>
    <w:p>
      <w:pPr>
        <w:pStyle w:val="Heading2"/>
      </w:pPr>
      <w:r>
        <w:t>7.5 Minimum pass standard</w:t>
      </w:r>
    </w:p>
    <w:p>
      <w:pPr>
        <w:spacing w:before="0" w:after="100" w:line="331" w:lineRule="auto"/>
      </w:pPr>
      <w:r>
        <w:t>The minimum pass standard is fivefold: the toy model is explicit, the scan framework is explicit, success/fragile/pathological regions are separable, rank-4 receives a preliminary verdict, and a minimum no-signalling test interface is embedded.</w:t>
      </w:r>
    </w:p>
    <w:p>
      <w:pPr>
        <w:pStyle w:val="Heading2"/>
      </w:pPr>
      <w:r>
        <w:t>7.6 Three admissible verdicts</w:t>
      </w:r>
    </w:p>
    <w:p>
      <w:pPr>
        <w:spacing w:before="0" w:after="100" w:line="331" w:lineRule="auto"/>
      </w:pPr>
      <w:r>
        <w:t>At the end of A2 only three verdicts should be allowed: preliminary pass, fragile but unresolved, or rollback.</w:t>
      </w:r>
    </w:p>
    <w:p>
      <w:pPr>
        <w:pStyle w:val="Heading1"/>
      </w:pPr>
      <w:r>
        <w:t>8. Interfaces to Main Line B, Volume IV, and A3-A5</w:t>
      </w:r>
    </w:p>
    <w:p>
      <w:pPr>
        <w:pStyle w:val="Heading2"/>
      </w:pPr>
      <w:r>
        <w:t>8.1 Interface to Main Line B</w:t>
      </w:r>
    </w:p>
    <w:p>
      <w:pPr>
        <w:spacing w:before="0" w:after="100" w:line="331" w:lineRule="auto"/>
      </w:pPr>
      <w:r>
        <w:t>A2 does not prove the continuous template of Main Line B. At most, a preliminary pass in A2 grants Main Line B the right to remain as a candidate continuous template. Continuous shared-field variables remain effective parameterizations only, never basic ontology.</w:t>
      </w:r>
    </w:p>
    <w:p>
      <w:pPr>
        <w:pStyle w:val="Heading2"/>
      </w:pPr>
      <w:r>
        <w:t>8.2 Interface to Volume IV</w:t>
      </w:r>
    </w:p>
    <w:p>
      <w:pPr>
        <w:spacing w:before="0" w:after="100" w:line="331" w:lineRule="auto"/>
      </w:pPr>
      <w:r>
        <w:t>A2 is a pre-adjudication layer for Volume IV. If A2 does not at least produce credible near-geometric and rank-4 candidate structure, then Volume IV must downgrade its dynamical interface language and treat its variables as external targets rather than supported downstream quantities.</w:t>
      </w:r>
    </w:p>
    <w:p>
      <w:r>
        <w:t>For example, if Volume IV later introduces a path-cost-type distance proxy or a propagation-cost-type geometricized variable, that quantity must be written as a downstream readout constructed from the backbone generator R^(1) under specified local updates, finite relation closure, and coarse-graining rules, rather than as a primitive geometric object already present at the mother-theory level.</w:t>
      </w:r>
    </w:p>
    <w:p>
      <w:pPr>
        <w:pStyle w:val="Heading2"/>
      </w:pPr>
      <w:r>
        <w:t>8.3 Interface to A3</w:t>
      </w:r>
    </w:p>
    <w:p>
      <w:pPr>
        <w:spacing w:before="0" w:after="100" w:line="331" w:lineRule="auto"/>
      </w:pPr>
      <w:r>
        <w:t>A2 must hand A3 representative success-region parameters, fragile-region parameters, pathological-region parameters, and a fixed effective-dimension workflow.</w:t>
      </w:r>
    </w:p>
    <w:p>
      <w:pPr>
        <w:pStyle w:val="Heading2"/>
      </w:pPr>
      <w:r>
        <w:t>8.4 Interface to A4</w:t>
      </w:r>
    </w:p>
    <w:p>
      <w:pPr>
        <w:spacing w:before="0" w:after="100" w:line="331" w:lineRule="auto"/>
      </w:pPr>
      <w:r>
        <w:t>A2 must hand A4 the paired readouts needed for no-signalling review: joint-correlation enhancement, remote marginal stability, and a list of dangerous pseudo-success regions.</w:t>
      </w:r>
    </w:p>
    <w:p>
      <w:pPr>
        <w:pStyle w:val="Heading2"/>
      </w:pPr>
      <w:r>
        <w:t>8.5 Interface to A5</w:t>
      </w:r>
    </w:p>
    <w:p>
      <w:pPr>
        <w:spacing w:before="0" w:after="100" w:line="331" w:lineRule="auto"/>
      </w:pPr>
      <w:r>
        <w:t>A2 contributes the first layer of evidence for the later global validation table: early dimension-bridge evidence, early multi-probe consistency constraints, and explicit failure exemplars.</w:t>
      </w:r>
    </w:p>
    <w:p>
      <w:pPr>
        <w:pStyle w:val="Heading1"/>
      </w:pPr>
      <w:r>
        <w:t>9. Conclusion</w:t>
      </w:r>
    </w:p>
    <w:p>
      <w:pPr>
        <w:pStyle w:val="Heading2"/>
      </w:pPr>
      <w:r>
        <w:t>9.1 What has been achieved</w:t>
      </w:r>
    </w:p>
    <w:p>
      <w:pPr>
        <w:spacing w:before="0" w:after="100" w:line="331" w:lineRule="auto"/>
      </w:pPr>
      <w:r>
        <w:t>This manuscript establishes a finite-dimensional, background-free, and fail-capable toy-model framework for Main Line A. It translates the A1 architecture into a computable workbench with explicit generator classes, local updates, constraint families, near-commuting diagnostics, joint-spectrum structure, effective-dimension readouts, and a scan-based separation of strong, fragile, and pathological regions.</w:t>
      </w:r>
    </w:p>
    <w:p>
      <w:pPr>
        <w:pStyle w:val="Heading2"/>
      </w:pPr>
      <w:r>
        <w:t>9.2 What has not been achieved</w:t>
      </w:r>
    </w:p>
    <w:p>
      <w:pPr>
        <w:spacing w:before="0" w:after="100" w:line="331" w:lineRule="auto"/>
      </w:pPr>
      <w:r>
        <w:t>The manuscript does not derive continuous spacetime, Lorentz structure, a single metric, no-signalling, general relativity, or a continuous effective field theory. Those absences are part of the layer discipline required by Main Line A.</w:t>
      </w:r>
    </w:p>
    <w:p>
      <w:pPr>
        <w:pStyle w:val="Heading2"/>
      </w:pPr>
      <w:r>
        <w:t>9.3 Proper level of conclusion</w:t>
      </w:r>
    </w:p>
    <w:p>
      <w:pPr>
        <w:spacing w:before="0" w:after="100" w:line="331" w:lineRule="auto"/>
      </w:pPr>
      <w:r>
        <w:t>The strongest admissible conclusion is this: if representative scans of the present finite-dimensional relation-algebra framework repeatedly exhibit robust rank-4 candidate regions, then the dimension bridge of Main Line A has received a first round of computational support; if not, then the current toy model must be classified as fragile or rolled back.</w:t>
      </w:r>
    </w:p>
    <w:p>
      <w:pPr>
        <w:pStyle w:val="Heading2"/>
      </w:pPr>
      <w:r>
        <w:t>9.4 Immediate next steps</w:t>
      </w:r>
    </w:p>
    <w:p>
      <w:pPr>
        <w:spacing w:before="0" w:after="100" w:line="331" w:lineRule="auto"/>
      </w:pPr>
      <w:r>
        <w:t>The immediate agenda is to fully instantiate the N=8 toy model, run first-round scans over the core parameters, produce the first map of success, fragile, pathological, and dangerous pseudo-success regions, and transfer the resulting parameter bundles and readout workflows to A3 and A4.</w:t>
      </w:r>
    </w:p>
    <w:p>
      <w:pPr>
        <w:pStyle w:val="Heading1"/>
      </w:pPr>
      <w:r>
        <w:t>Appendix A. Minimal N=8 template</w:t>
      </w:r>
    </w:p>
    <w:p>
      <w:pPr>
        <w:spacing w:before="0" w:after="100" w:line="331" w:lineRule="auto"/>
      </w:pPr>
      <w:r>
        <w:t>A first demonstration may take N=8 with three 8x8 real symmetric generators: a sparse backbone matrix, a shared-constraint matrix, and a response-propagation matrix, plus local perturbations controlled by noncommutativity, sparsity, and update-noise parameters. The aim of the first round is not realism but adjudicability.</w:t>
      </w:r>
    </w:p>
    <w:p>
      <w:pPr>
        <w:pStyle w:val="Heading1"/>
      </w:pPr>
      <w:r>
        <w:t>Appendix B. Readout workflow</w:t>
      </w:r>
    </w:p>
    <w:p>
      <w:pPr>
        <w:spacing w:before="0" w:after="100" w:line="331" w:lineRule="auto"/>
      </w:pPr>
      <w:r>
        <w:t>Input the generator family and core parameters. Apply local updates. Compute pairwise commutators and total commutator cost. Extract principal subspaces and spectra. Compute participation-ratio dimension, spectral-gap dimension, stability-based dimension, and cross-probe consistency dimension. Record joint-correlation enhancement and remote marginal stability. Scan the parameter grid and classify regions.</w:t>
      </w:r>
    </w:p>
    <w:p>
      <w:r>
        <w:t>Notes: (1) multi-probe readouts refer by default to the principal-subspace and dimension readouts induced separately by R^(1), R^(2), and R^(3); (2) global near-commuting diagnostics are evaluated on the full N×N generators, while local near-commuting diagnostics repeat the same calculations on representative finite subblocks or finite relation closures; (3) parameter scans should retain both global and local near-commuting maps so as to distinguish pseudo-regular structures that appear smooth globally but are violently noncommuting locally; and (4) if region labels are highly sensitive to small variations of screening-functional weights, the region should be classified as fragile rather than successful.</w:t>
      </w:r>
    </w:p>
    <w:p>
      <w:pPr>
        <w:pStyle w:val="Heading1"/>
      </w:pPr>
      <w:r>
        <w:t>Appendix C. Minimal proposition sketches</w:t>
      </w:r>
    </w:p>
    <w:p>
      <w:pPr>
        <w:spacing w:before="0" w:after="100" w:line="331" w:lineRule="auto"/>
      </w:pPr>
      <w:r>
        <w:t>Sketch 1: a robust near-commuting region supports the definition of a reasonable effective-dimension candidate. Sketch 2: if a near-commuting region also shows coherent joint-spectrum clustering and cross-probe agreement, it becomes a legitimate rank-4 candidate test object. Sketch 3: if rank-4 appears only at fine-tuned points and disappears under small perturbations, the toy model does not support robust dimension-bridge claims.</w:t>
      </w:r>
    </w:p>
    <w:p>
      <w:r>
        <w:t>Proposition sketch 4. If a parameter neighborhood simultaneously exhibits persistently suppressed total commutator cost, an effective-dimension vector clustered near 4 within tolerance, and enhanced joint correlation together with only small remote marginal drift, then that neighborhood may be provisionally tagged as a 'dimension-bridge candidate / shared-consistency region'. In A2 this is not a theorem claim; it is a target sample definition for the joint A3-A4 review.</w:t>
      </w:r>
    </w:p>
    <w:p>
      <w:pPr>
        <w:pStyle w:val="Heading1"/>
      </w:pPr>
      <w:r>
        <w:t>A2 Minimum Pass Standard Overview</w:t>
      </w:r>
    </w:p>
    <w:tbl>
      <w:tblPr>
        <w:tblStyle w:val="TableGrid"/>
        <w:tblW w:type="auto" w:w="0"/>
        <w:tblLook w:firstColumn="1" w:firstRow="1" w:lastColumn="0" w:lastRow="0" w:noHBand="0" w:noVBand="1" w:val="04A0"/>
      </w:tblPr>
      <w:tblGrid>
        <w:gridCol w:w="3135"/>
        <w:gridCol w:w="3135"/>
        <w:gridCol w:w="3135"/>
      </w:tblGrid>
      <w:tr>
        <w:tc>
          <w:tcPr>
            <w:tcW w:type="dxa" w:w="3135"/>
            <w:tcMar>
              <w:top w:w="140" w:type="dxa"/>
              <w:start w:w="160" w:type="dxa"/>
              <w:bottom w:w="140" w:type="dxa"/>
              <w:end w:w="160" w:type="dxa"/>
            </w:tcMar>
          </w:tcPr>
          <w:p>
            <w:pPr>
              <w:jc w:val="center"/>
            </w:pPr>
            <w:r>
              <w:rPr>
                <w:b/>
              </w:rPr>
              <w:t>Item</w:t>
            </w:r>
          </w:p>
        </w:tc>
        <w:tc>
          <w:tcPr>
            <w:tcW w:type="dxa" w:w="3135"/>
            <w:tcMar>
              <w:top w:w="140" w:type="dxa"/>
              <w:start w:w="160" w:type="dxa"/>
              <w:bottom w:w="140" w:type="dxa"/>
              <w:end w:w="160" w:type="dxa"/>
            </w:tcMar>
          </w:tcPr>
          <w:p>
            <w:pPr>
              <w:jc w:val="center"/>
            </w:pPr>
            <w:r>
              <w:rPr>
                <w:b/>
              </w:rPr>
              <w:t>Requirement</w:t>
            </w:r>
          </w:p>
        </w:tc>
        <w:tc>
          <w:tcPr>
            <w:tcW w:type="dxa" w:w="3135"/>
            <w:tcMar>
              <w:top w:w="140" w:type="dxa"/>
              <w:start w:w="160" w:type="dxa"/>
              <w:bottom w:w="140" w:type="dxa"/>
              <w:end w:w="160" w:type="dxa"/>
            </w:tcMar>
          </w:tcPr>
          <w:p>
            <w:pPr>
              <w:jc w:val="center"/>
            </w:pPr>
            <w:r>
              <w:rPr>
                <w:b/>
              </w:rPr>
              <w:t>A1 Mapping</w:t>
            </w:r>
          </w:p>
        </w:tc>
      </w:tr>
      <w:tr>
        <w:tc>
          <w:tcPr>
            <w:tcW w:type="dxa" w:w="3135"/>
            <w:tcMar>
              <w:top w:w="140" w:type="dxa"/>
              <w:start w:w="160" w:type="dxa"/>
              <w:bottom w:w="140" w:type="dxa"/>
              <w:end w:w="160" w:type="dxa"/>
            </w:tcMar>
          </w:tcPr>
          <w:p>
            <w:pPr>
              <w:spacing w:before="0" w:after="0" w:line="300" w:lineRule="auto"/>
              <w:jc w:val="center"/>
            </w:pPr>
            <w:r>
              <w:t>Finite toy model</w:t>
            </w:r>
          </w:p>
        </w:tc>
        <w:tc>
          <w:tcPr>
            <w:tcW w:type="dxa" w:w="3135"/>
            <w:tcMar>
              <w:top w:w="140" w:type="dxa"/>
              <w:start w:w="160" w:type="dxa"/>
              <w:bottom w:w="140" w:type="dxa"/>
              <w:end w:w="160" w:type="dxa"/>
            </w:tcMar>
          </w:tcPr>
          <w:p>
            <w:pPr>
              <w:spacing w:before="0" w:after="0" w:line="300" w:lineRule="auto"/>
              <w:jc w:val="left"/>
            </w:pPr>
            <w:r>
              <w:t>Object scale, generators, updates, constraints are explicit</w:t>
            </w:r>
          </w:p>
        </w:tc>
        <w:tc>
          <w:tcPr>
            <w:tcW w:type="dxa" w:w="3135"/>
            <w:tcMar>
              <w:top w:w="140" w:type="dxa"/>
              <w:start w:w="160" w:type="dxa"/>
              <w:bottom w:w="140" w:type="dxa"/>
              <w:end w:w="160" w:type="dxa"/>
            </w:tcMar>
          </w:tcPr>
          <w:p>
            <w:pPr>
              <w:spacing w:before="0" w:after="0" w:line="300" w:lineRule="auto"/>
              <w:jc w:val="center"/>
            </w:pPr>
            <w:r>
              <w:t>Level-2 failure</w:t>
            </w:r>
          </w:p>
        </w:tc>
      </w:tr>
      <w:tr>
        <w:tc>
          <w:tcPr>
            <w:tcW w:type="dxa" w:w="3135"/>
            <w:tcMar>
              <w:top w:w="140" w:type="dxa"/>
              <w:start w:w="160" w:type="dxa"/>
              <w:bottom w:w="140" w:type="dxa"/>
              <w:end w:w="160" w:type="dxa"/>
            </w:tcMar>
          </w:tcPr>
          <w:p>
            <w:pPr>
              <w:spacing w:before="0" w:after="0" w:line="300" w:lineRule="auto"/>
              <w:jc w:val="center"/>
            </w:pPr>
            <w:r>
              <w:t>Parameter scans</w:t>
            </w:r>
          </w:p>
        </w:tc>
        <w:tc>
          <w:tcPr>
            <w:tcW w:type="dxa" w:w="3135"/>
            <w:tcMar>
              <w:top w:w="140" w:type="dxa"/>
              <w:start w:w="160" w:type="dxa"/>
              <w:bottom w:w="140" w:type="dxa"/>
              <w:end w:w="160" w:type="dxa"/>
            </w:tcMar>
          </w:tcPr>
          <w:p>
            <w:pPr>
              <w:spacing w:before="0" w:after="0" w:line="300" w:lineRule="auto"/>
              <w:jc w:val="left"/>
            </w:pPr>
            <w:r>
              <w:t>Readouts and region classification are explicit</w:t>
            </w:r>
          </w:p>
        </w:tc>
        <w:tc>
          <w:tcPr>
            <w:tcW w:type="dxa" w:w="3135"/>
            <w:tcMar>
              <w:top w:w="140" w:type="dxa"/>
              <w:start w:w="160" w:type="dxa"/>
              <w:bottom w:w="140" w:type="dxa"/>
              <w:end w:w="160" w:type="dxa"/>
            </w:tcMar>
          </w:tcPr>
          <w:p>
            <w:pPr>
              <w:spacing w:before="0" w:after="0" w:line="300" w:lineRule="auto"/>
              <w:jc w:val="center"/>
            </w:pPr>
            <w:r>
              <w:t>Level-2/3 failure</w:t>
            </w:r>
          </w:p>
        </w:tc>
      </w:tr>
      <w:tr>
        <w:tc>
          <w:tcPr>
            <w:tcW w:type="dxa" w:w="3135"/>
            <w:tcMar>
              <w:top w:w="140" w:type="dxa"/>
              <w:start w:w="160" w:type="dxa"/>
              <w:bottom w:w="140" w:type="dxa"/>
              <w:end w:w="160" w:type="dxa"/>
            </w:tcMar>
          </w:tcPr>
          <w:p>
            <w:pPr>
              <w:spacing w:before="0" w:after="0" w:line="300" w:lineRule="auto"/>
              <w:jc w:val="center"/>
            </w:pPr>
            <w:r>
              <w:t>Rank-4 verdict</w:t>
            </w:r>
          </w:p>
        </w:tc>
        <w:tc>
          <w:tcPr>
            <w:tcW w:type="dxa" w:w="3135"/>
            <w:tcMar>
              <w:top w:w="140" w:type="dxa"/>
              <w:start w:w="160" w:type="dxa"/>
              <w:bottom w:w="140" w:type="dxa"/>
              <w:end w:w="160" w:type="dxa"/>
            </w:tcMar>
          </w:tcPr>
          <w:p>
            <w:pPr>
              <w:spacing w:before="0" w:after="0" w:line="300" w:lineRule="auto"/>
              <w:jc w:val="left"/>
            </w:pPr>
            <w:r>
              <w:t>Preliminary pass / unresolved / rollback</w:t>
            </w:r>
          </w:p>
        </w:tc>
        <w:tc>
          <w:tcPr>
            <w:tcW w:type="dxa" w:w="3135"/>
            <w:tcMar>
              <w:top w:w="140" w:type="dxa"/>
              <w:start w:w="160" w:type="dxa"/>
              <w:bottom w:w="140" w:type="dxa"/>
              <w:end w:w="160" w:type="dxa"/>
            </w:tcMar>
          </w:tcPr>
          <w:p>
            <w:pPr>
              <w:spacing w:before="0" w:after="0" w:line="300" w:lineRule="auto"/>
              <w:jc w:val="center"/>
            </w:pPr>
            <w:r>
              <w:t>Level-3 failure</w:t>
            </w:r>
          </w:p>
        </w:tc>
      </w:tr>
      <w:tr>
        <w:tc>
          <w:tcPr>
            <w:tcW w:type="dxa" w:w="3135"/>
            <w:tcMar>
              <w:top w:w="140" w:type="dxa"/>
              <w:start w:w="160" w:type="dxa"/>
              <w:bottom w:w="140" w:type="dxa"/>
              <w:end w:w="160" w:type="dxa"/>
            </w:tcMar>
          </w:tcPr>
          <w:p>
            <w:pPr>
              <w:spacing w:before="0" w:after="0" w:line="300" w:lineRule="auto"/>
              <w:jc w:val="center"/>
            </w:pPr>
            <w:r>
              <w:t>Shared-interface slot</w:t>
            </w:r>
          </w:p>
        </w:tc>
        <w:tc>
          <w:tcPr>
            <w:tcW w:type="dxa" w:w="3135"/>
            <w:tcMar>
              <w:top w:w="140" w:type="dxa"/>
              <w:start w:w="160" w:type="dxa"/>
              <w:bottom w:w="140" w:type="dxa"/>
              <w:end w:w="160" w:type="dxa"/>
            </w:tcMar>
          </w:tcPr>
          <w:p>
            <w:pPr>
              <w:spacing w:before="0" w:after="0" w:line="300" w:lineRule="auto"/>
              <w:jc w:val="left"/>
            </w:pPr>
            <w:r>
              <w:t>Joint-correlation and marginal readouts both defined</w:t>
            </w:r>
          </w:p>
        </w:tc>
        <w:tc>
          <w:tcPr>
            <w:tcW w:type="dxa" w:w="3135"/>
            <w:tcMar>
              <w:top w:w="140" w:type="dxa"/>
              <w:start w:w="160" w:type="dxa"/>
              <w:bottom w:w="140" w:type="dxa"/>
              <w:end w:w="160" w:type="dxa"/>
            </w:tcMar>
          </w:tcPr>
          <w:p>
            <w:pPr>
              <w:spacing w:before="0" w:after="0" w:line="300" w:lineRule="auto"/>
              <w:jc w:val="center"/>
            </w:pPr>
            <w:r>
              <w:t>Forward slot for level-4</w:t>
            </w:r>
          </w:p>
        </w:tc>
      </w:tr>
    </w:tbl>
    <w:sectPr w:rsidR="00FC693F" w:rsidRPr="0006063C" w:rsidSect="00034616">
      <w:footerReference w:type="default" r:id="rId9"/>
      <w:pgSz w:w="12240" w:h="15840"/>
      <w:pgMar w:top="1304" w:right="1361" w:bottom="119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Times New Roman" w:hAnsi="Times New Roman"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Calibri"/>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Calibri"/>
      <w:b/>
      <w:bCs/>
      <w:color w:val="4F4F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