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line="264" w:lineRule="auto"/>
        <w:jc w:val="center"/>
      </w:pPr>
      <w:r>
        <w:rPr>
          <w:rFonts w:ascii="Times New Roman" w:hAnsi="Times New Roman" w:eastAsia="黑体"/>
          <w:b/>
          <w:color w:val="1F4E79"/>
          <w:sz w:val="42"/>
        </w:rPr>
        <w:t>BNCFT 离散样板模型 I：近对易区、联合谱与有效维数</w:t>
      </w:r>
    </w:p>
    <w:p>
      <w:pPr>
        <w:spacing w:before="0" w:after="360" w:line="288" w:lineRule="auto"/>
        <w:jc w:val="center"/>
      </w:pPr>
      <w:r>
        <w:rPr>
          <w:i/>
          <w:color w:val="5A5A5A"/>
          <w:sz w:val="22"/>
        </w:rPr>
        <w:t>正式文稿 / Formal Manuscript</w:t>
      </w:r>
    </w:p>
    <w:tbl>
      <w:tblPr>
        <w:tblStyle w:val="TableGrid"/>
        <w:tblW w:type="auto" w:w="0"/>
        <w:tblLook w:firstColumn="1" w:firstRow="1" w:lastColumn="0" w:lastRow="0" w:noHBand="0" w:noVBand="1" w:val="04A0"/>
      </w:tblPr>
      <w:tblGrid>
        <w:gridCol w:w="4702"/>
        <w:gridCol w:w="4702"/>
      </w:tblGrid>
      <w:tr>
        <w:tc>
          <w:tcPr>
            <w:tcW w:type="dxa" w:w="4702"/>
            <w:tcMar>
              <w:top w:w="120" w:type="dxa"/>
              <w:start w:w="140" w:type="dxa"/>
              <w:bottom w:w="120" w:type="dxa"/>
              <w:end w:w="140" w:type="dxa"/>
            </w:tcMar>
          </w:tcPr>
          <w:p>
            <w:pPr>
              <w:spacing w:before="0" w:after="0" w:line="288" w:lineRule="auto"/>
              <w:jc w:val="left"/>
            </w:pPr>
            <w:r>
              <w:rPr>
                <w:b/>
                <w:sz w:val="21"/>
              </w:rPr>
              <w:t>版本</w:t>
            </w:r>
          </w:p>
        </w:tc>
        <w:tc>
          <w:tcPr>
            <w:tcW w:type="dxa" w:w="4702"/>
            <w:tcMar>
              <w:top w:w="120" w:type="dxa"/>
              <w:start w:w="140" w:type="dxa"/>
              <w:bottom w:w="120" w:type="dxa"/>
              <w:end w:w="140" w:type="dxa"/>
            </w:tcMar>
          </w:tcPr>
          <w:p>
            <w:pPr>
              <w:spacing w:before="0" w:after="0" w:line="288" w:lineRule="auto"/>
              <w:jc w:val="left"/>
            </w:pPr>
            <w:r>
              <w:rPr>
                <w:b w:val="0"/>
                <w:sz w:val="21"/>
              </w:rPr>
              <w:t>v1.0</w:t>
            </w:r>
          </w:p>
        </w:tc>
      </w:tr>
      <w:tr>
        <w:tc>
          <w:tcPr>
            <w:tcW w:type="dxa" w:w="4702"/>
            <w:tcMar>
              <w:top w:w="120" w:type="dxa"/>
              <w:start w:w="140" w:type="dxa"/>
              <w:bottom w:w="120" w:type="dxa"/>
              <w:end w:w="140" w:type="dxa"/>
            </w:tcMar>
          </w:tcPr>
          <w:p>
            <w:pPr>
              <w:spacing w:before="0" w:after="0" w:line="288" w:lineRule="auto"/>
              <w:jc w:val="left"/>
            </w:pPr>
            <w:r>
              <w:rPr>
                <w:b/>
                <w:sz w:val="21"/>
              </w:rPr>
              <w:t>日期</w:t>
            </w:r>
          </w:p>
        </w:tc>
        <w:tc>
          <w:tcPr>
            <w:tcW w:type="dxa" w:w="4702"/>
            <w:tcMar>
              <w:top w:w="120" w:type="dxa"/>
              <w:start w:w="140" w:type="dxa"/>
              <w:bottom w:w="120" w:type="dxa"/>
              <w:end w:w="140" w:type="dxa"/>
            </w:tcMar>
          </w:tcPr>
          <w:p>
            <w:pPr>
              <w:spacing w:before="0" w:after="0" w:line="288" w:lineRule="auto"/>
              <w:jc w:val="left"/>
            </w:pPr>
            <w:r>
              <w:rPr>
                <w:b w:val="0"/>
                <w:sz w:val="21"/>
              </w:rPr>
              <w:t>2026-04-21</w:t>
            </w:r>
          </w:p>
        </w:tc>
      </w:tr>
      <w:tr>
        <w:tc>
          <w:tcPr>
            <w:tcW w:type="dxa" w:w="4702"/>
            <w:tcMar>
              <w:top w:w="120" w:type="dxa"/>
              <w:start w:w="140" w:type="dxa"/>
              <w:bottom w:w="120" w:type="dxa"/>
              <w:end w:w="140" w:type="dxa"/>
            </w:tcMar>
          </w:tcPr>
          <w:p>
            <w:pPr>
              <w:spacing w:before="0" w:after="0" w:line="288" w:lineRule="auto"/>
              <w:jc w:val="left"/>
            </w:pPr>
            <w:r>
              <w:rPr>
                <w:b/>
                <w:sz w:val="21"/>
              </w:rPr>
              <w:t>项目</w:t>
            </w:r>
          </w:p>
        </w:tc>
        <w:tc>
          <w:tcPr>
            <w:tcW w:type="dxa" w:w="4702"/>
            <w:tcMar>
              <w:top w:w="120" w:type="dxa"/>
              <w:start w:w="140" w:type="dxa"/>
              <w:bottom w:w="120" w:type="dxa"/>
              <w:end w:w="140" w:type="dxa"/>
            </w:tcMar>
          </w:tcPr>
          <w:p>
            <w:pPr>
              <w:spacing w:before="0" w:after="0" w:line="288" w:lineRule="auto"/>
              <w:jc w:val="left"/>
            </w:pPr>
            <w:r>
              <w:rPr>
                <w:b w:val="0"/>
                <w:sz w:val="21"/>
              </w:rPr>
              <w:t>BNCFT 主线 A</w:t>
            </w:r>
          </w:p>
        </w:tc>
      </w:tr>
      <w:tr>
        <w:tc>
          <w:tcPr>
            <w:tcW w:type="dxa" w:w="4702"/>
            <w:tcMar>
              <w:top w:w="120" w:type="dxa"/>
              <w:start w:w="140" w:type="dxa"/>
              <w:bottom w:w="120" w:type="dxa"/>
              <w:end w:w="140" w:type="dxa"/>
            </w:tcMar>
          </w:tcPr>
          <w:p>
            <w:pPr>
              <w:spacing w:before="0" w:after="0" w:line="288" w:lineRule="auto"/>
              <w:jc w:val="left"/>
            </w:pPr>
            <w:r>
              <w:rPr>
                <w:b/>
                <w:sz w:val="21"/>
              </w:rPr>
              <w:t>文稿类型</w:t>
            </w:r>
          </w:p>
        </w:tc>
        <w:tc>
          <w:tcPr>
            <w:tcW w:type="dxa" w:w="4702"/>
            <w:tcMar>
              <w:top w:w="120" w:type="dxa"/>
              <w:start w:w="140" w:type="dxa"/>
              <w:bottom w:w="120" w:type="dxa"/>
              <w:end w:w="140" w:type="dxa"/>
            </w:tcMar>
          </w:tcPr>
          <w:p>
            <w:pPr>
              <w:spacing w:before="0" w:after="0" w:line="288" w:lineRule="auto"/>
              <w:jc w:val="left"/>
            </w:pPr>
            <w:r>
              <w:rPr>
                <w:b w:val="0"/>
                <w:sz w:val="21"/>
              </w:rPr>
              <w:t>正式文稿</w:t>
            </w:r>
          </w:p>
        </w:tc>
      </w:tr>
      <w:tr>
        <w:tc>
          <w:tcPr>
            <w:tcW w:type="dxa" w:w="4702"/>
            <w:tcMar>
              <w:top w:w="120" w:type="dxa"/>
              <w:start w:w="140" w:type="dxa"/>
              <w:bottom w:w="120" w:type="dxa"/>
              <w:end w:w="140" w:type="dxa"/>
            </w:tcMar>
          </w:tcPr>
          <w:p>
            <w:pPr>
              <w:spacing w:before="0" w:after="0" w:line="288" w:lineRule="auto"/>
              <w:jc w:val="left"/>
            </w:pPr>
            <w:r>
              <w:rPr>
                <w:b/>
                <w:sz w:val="21"/>
              </w:rPr>
              <w:t>状态</w:t>
            </w:r>
          </w:p>
        </w:tc>
        <w:tc>
          <w:tcPr>
            <w:tcW w:type="dxa" w:w="4702"/>
            <w:tcMar>
              <w:top w:w="120" w:type="dxa"/>
              <w:start w:w="140" w:type="dxa"/>
              <w:bottom w:w="120" w:type="dxa"/>
              <w:end w:w="140" w:type="dxa"/>
            </w:tcMar>
          </w:tcPr>
          <w:p>
            <w:pPr>
              <w:spacing w:before="0" w:after="0" w:line="288" w:lineRule="auto"/>
              <w:jc w:val="left"/>
            </w:pPr>
            <w:r>
              <w:rPr>
                <w:b w:val="0"/>
                <w:sz w:val="21"/>
              </w:rPr>
              <w:t>可提交草稿</w:t>
            </w:r>
          </w:p>
        </w:tc>
      </w:tr>
    </w:tbl>
    <w:p>
      <w:r>
        <w:br w:type="page"/>
      </w:r>
    </w:p>
    <w:p>
      <w:pPr>
        <w:pStyle w:val="Heading1"/>
      </w:pPr>
      <w:r>
        <w:t>目录</w:t>
      </w:r>
    </w:p>
    <w:p>
      <w:r>
        <w:fldChar w:fldCharType="begin"/>
        <w:instrText xml:space="preserve">TOC \o "1-3" \h \z \u</w:instrText>
        <w:fldChar w:fldCharType="separate"/>
        <w:fldChar w:fldCharType="end"/>
      </w:r>
    </w:p>
    <w:p>
      <w:r>
        <w:br w:type="page"/>
      </w:r>
    </w:p>
    <w:p>
      <w:pPr>
        <w:pStyle w:val="Heading1"/>
      </w:pPr>
      <w:r>
        <w:t>摘要</w:t>
      </w:r>
    </w:p>
    <w:p>
      <w:pPr>
        <w:spacing w:before="0" w:after="100" w:line="331" w:lineRule="auto"/>
      </w:pPr>
      <w:r>
        <w:t>本文在《BNCFT 母理论候选：离散关系代数与共享接口》所建立的无背景、离散、可失败框架下，构造并分析 BNCFT 主线 A 的第一个有限维离散样板模型。本文不从连续共享场、连续流形或预设维数出发，而从一组有限维关系矩阵、局域更新规则与相容性约束出发，考察该样板是否会在某些参数区间出现可重复的近对易区、联合谱结构与有效维数候选。</w:t>
      </w:r>
    </w:p>
    <w:p>
      <w:pPr>
        <w:spacing w:before="0" w:after="100" w:line="331" w:lineRule="auto"/>
      </w:pPr>
      <w:r>
        <w:t>本文的目标不是证明四维时空已经推出，也不是直接建立广义相对论或量子理论的连续接口，而是提供一个最小可计算工地，用于检验如下桥梁问题：在无背景的离散关系代数系统中，是否可能出现稳定的近几何迹象；这些迹象是否对应于某种有效低秩主子空间；rank-4 候选区是否是稳健相，而不是偶然调参点；以及哪些参数区会显式落入病态区，从而触发主线 A 的三级失败判据。</w:t>
      </w:r>
    </w:p>
    <w:p>
      <w:pPr>
        <w:spacing w:before="0" w:after="100" w:line="331" w:lineRule="auto"/>
      </w:pPr>
      <w:r>
        <w:t>关键词：BNCFT；离散样板模型；近对易区；联合谱；有效维数；rank-4 候选；无背景关系代数</w:t>
      </w:r>
    </w:p>
    <w:p>
      <w:pPr>
        <w:pStyle w:val="Heading1"/>
      </w:pPr>
      <w:r>
        <w:t>0. 定位、防火墙与本文任务</w:t>
      </w:r>
    </w:p>
    <w:p>
      <w:pPr>
        <w:pStyle w:val="Heading2"/>
      </w:pPr>
      <w:r>
        <w:t>0.1 本文定位</w:t>
      </w:r>
    </w:p>
    <w:p>
      <w:pPr>
        <w:spacing w:before="0" w:after="100" w:line="331" w:lineRule="auto"/>
      </w:pPr>
      <w:r>
        <w:t>本文构成 BNCFT 主线 A 的第一篇样板模型文稿，是《BNCFT 母理论候选：离散关系代数与共享接口》之后的直接施工稿。A1 给出了母理论候选的六元组框架、共享接口、失败判据与回退机制；本文则承担其中最直接的一项任务：构造一个有限维、可计算、可失败的离散样板，用于检验维数桥梁是否具备初步成立的可能。</w:t>
      </w:r>
    </w:p>
    <w:p>
      <w:pPr>
        <w:spacing w:before="0" w:after="100" w:line="331" w:lineRule="auto"/>
      </w:pPr>
      <w:r>
        <w:t>本文不是连续有效理论文稿，不是引力接口文稿，也不是现象学拟合文稿。本文的地位应严格限定为：主线 A 的第一个计算样板。</w:t>
      </w:r>
    </w:p>
    <w:p>
      <w:pPr>
        <w:pStyle w:val="Heading2"/>
      </w:pPr>
      <w:r>
        <w:t>0.2 三条防火墙</w:t>
      </w:r>
    </w:p>
    <w:p>
      <w:pPr>
        <w:spacing w:before="0" w:after="100" w:line="331" w:lineRule="auto"/>
      </w:pPr>
      <w:r>
        <w:t>本文严格继承 A1 的三条防火墙：第一，不预设连续背景；第二，不把连续共享场作为基本对象；第三，不把样板读出写成高层理论推出。</w:t>
      </w:r>
    </w:p>
    <w:p>
      <w:pPr>
        <w:spacing w:before="0" w:after="100" w:line="331" w:lineRule="auto"/>
      </w:pPr>
      <w:r>
        <w:t>因此，本文只允许使用“候选”“迹象”“稳健区”“病态区”“匹配为”等语言，不使用“推出四维时空”“已恢复 GR”等表述。</w:t>
      </w:r>
    </w:p>
    <w:p>
      <w:pPr>
        <w:pStyle w:val="Heading2"/>
      </w:pPr>
      <w:r>
        <w:t>0.3 最小交付物</w:t>
      </w:r>
    </w:p>
    <w:p>
      <w:pPr>
        <w:spacing w:before="0" w:after="100" w:line="331" w:lineRule="auto"/>
      </w:pPr>
      <w:r>
        <w:t>本文至少应交出以下六类内容：一个明确的有限维样板模型；一组关系生成元与更新规则；一组近对易读出量；一组联合谱与有效维数读出量；成功区、脆弱区与失败区的参数扫描口径；与 A1 三级失败判据的直接映射。</w:t>
      </w:r>
    </w:p>
    <w:p>
      <w:pPr>
        <w:pStyle w:val="Heading1"/>
      </w:pPr>
      <w:r>
        <w:t>1. 为什么主线 A 必须先做有限维样板</w:t>
      </w:r>
    </w:p>
    <w:p>
      <w:pPr>
        <w:pStyle w:val="Heading2"/>
      </w:pPr>
      <w:r>
        <w:t>1.1 A1 只完成了“宪法”，A2 必须进入“施工”</w:t>
      </w:r>
    </w:p>
    <w:p>
      <w:pPr>
        <w:spacing w:before="0" w:after="100" w:line="331" w:lineRule="auto"/>
      </w:pPr>
      <w:r>
        <w:t>A1 已经完成了母理论层最重要的工作：对象表、关系代数框架、共享接口、桥梁目标、失败判据与回退机制都已被正式锁定。但 A1 仍主要属于定义层和制度层。若主线 A 停留在 A1，整个工程仍可能被批评为逻辑很严密，但没有计算；概念很克制，但没有样板；可失败性写进去了，但没人知道如何真正失败。</w:t>
      </w:r>
    </w:p>
    <w:p>
      <w:pPr>
        <w:pStyle w:val="Heading2"/>
      </w:pPr>
      <w:r>
        <w:t>1.2 为什么必须从有限维开始</w:t>
      </w:r>
    </w:p>
    <w:p>
      <w:pPr>
        <w:spacing w:before="0" w:after="100" w:line="331" w:lineRule="auto"/>
      </w:pPr>
      <w:r>
        <w:t>本文坚持从有限维样板起步，而不是直接写无限维或连续极限模型。有限维最可审查，最适合失败判定，最适合桥梁语言，也最便于后续扩展。</w:t>
      </w:r>
    </w:p>
    <w:p>
      <w:pPr>
        <w:pStyle w:val="Heading2"/>
      </w:pPr>
      <w:r>
        <w:t>1.3 基本策略</w:t>
      </w:r>
    </w:p>
    <w:p>
      <w:pPr>
        <w:spacing w:before="0" w:after="100" w:line="331" w:lineRule="auto"/>
      </w:pPr>
      <w:r>
        <w:t>第一版样板的任务更低也更硬：能不能形成近对易区；能不能出现联合谱聚集；能不能读出一个相对稳定的有效维数；能不能把成功区和失败区区分开。只有先裁决出哪些机制有资格继续，后续才谈物理逼真度。</w:t>
      </w:r>
    </w:p>
    <w:p>
      <w:pPr>
        <w:pStyle w:val="Heading1"/>
      </w:pPr>
      <w:r>
        <w:t>2. 样板模型的最小对象表与生成元选择</w:t>
      </w:r>
    </w:p>
    <w:p>
      <w:pPr>
        <w:pStyle w:val="Heading2"/>
      </w:pPr>
      <w:r>
        <w:t>2.1 从 A1 六元组到 A2 有限维样板</w:t>
      </w:r>
    </w:p>
    <w:p>
      <w:pPr>
        <w:spacing w:before="0" w:after="100" w:line="331" w:lineRule="auto"/>
      </w:pPr>
      <w:r>
        <w:t>本文考虑一个有限对象集 ΩN={1,…,N}，并取最小非平凡规模 N≥8 作为首批扫描建议。系统状态具体化为一个包含对象集、关系生成元、状态、约束、更新与读出量的有限维样板系统。</w:t>
      </w:r>
    </w:p>
    <w:p>
      <w:pPr>
        <w:spacing w:before="0" w:after="100" w:line="331" w:lineRule="auto"/>
      </w:pPr>
      <w:r>
        <w:t>首批样板的目标不是覆盖所有可能母理论实现，而是提供一个足够小、足够清楚、足够容易失败的最小工地。</w:t>
      </w:r>
    </w:p>
    <w:p>
      <w:pPr>
        <w:pStyle w:val="Heading2"/>
      </w:pPr>
      <w:r>
        <w:t>2.2 最小对象集与首批规模建议</w:t>
      </w:r>
    </w:p>
    <w:p>
      <w:pPr>
        <w:spacing w:before="0" w:after="100" w:line="331" w:lineRule="auto"/>
      </w:pPr>
      <w:r>
        <w:t>本文建议首批主样板优先取 N=8 或 N=10，并将 N=8 作为最小正式展示规模。太小则交换子结构过于贫弱，太大则第一版样板失去透明性。N=8 已足够容纳稀疏骨架、局域块、非平凡扰动路径与多个主方向竞争。</w:t>
      </w:r>
    </w:p>
    <w:p>
      <w:pPr>
        <w:pStyle w:val="Heading2"/>
      </w:pPr>
      <w:r>
        <w:t>2.3 关系生成元的首批选择：为什么是三类</w:t>
      </w:r>
    </w:p>
    <w:p>
      <w:pPr>
        <w:spacing w:before="0" w:after="100" w:line="331" w:lineRule="auto"/>
      </w:pPr>
      <w:r>
        <w:t>A2 第一版优先采用三类关系生成元：R1 为骨架关系生成元，R2 为共享约束生成元，R3 为响应传播生成元。</w:t>
      </w:r>
    </w:p>
    <w:p>
      <w:pPr>
        <w:spacing w:before="0" w:after="100" w:line="331" w:lineRule="auto"/>
      </w:pPr>
      <w:r>
        <w:t>一个最小样板至少要有“骨架”“约束”“响应”三个层级，否则就难以同时承接近对易读出、联合谱主结构与共享接口最小测试槽口。</w:t>
      </w:r>
    </w:p>
    <w:p>
      <w:pPr>
        <w:pStyle w:val="Heading2"/>
      </w:pPr>
      <w:r>
        <w:t>2.4 表示类</w:t>
      </w:r>
    </w:p>
    <w:p>
      <w:pPr>
        <w:spacing w:before="0" w:after="100" w:line="331" w:lineRule="auto"/>
      </w:pPr>
      <w:r>
        <w:t>A2 第一版对表示类作进一步收紧，优先采用实对称矩阵或复 Hermitian 生成元。这样做的理由是：联合谱分析更清楚；第一版样板不需要同时面对非正规矩阵困难；同时这不是对高层量子理论的偷渡，只是为了让第一版样板的代数与谱结构读出更可裁决。</w:t>
      </w:r>
    </w:p>
    <w:p>
      <w:pPr>
        <w:pStyle w:val="Heading2"/>
      </w:pPr>
      <w:r>
        <w:t>2.5 参数化策略</w:t>
      </w:r>
    </w:p>
    <w:p>
      <w:pPr>
        <w:spacing w:before="0" w:after="100" w:line="331" w:lineRule="auto"/>
      </w:pPr>
      <w:r>
        <w:t>本文将三类生成元写成“基础模板 + 局域扰动”的形式，并引入生成元权重、总体非对易控制参数、骨架稀疏度参数与局域更新噪声参数。A2 的核心任务不是“造一个 4”，而是判断 4 是否会作为一种有效维数候选自然浮现。</w:t>
      </w:r>
    </w:p>
    <w:p>
      <w:pPr>
        <w:pStyle w:val="Heading2"/>
      </w:pPr>
      <w:r>
        <w:t>2.6 一个建议性的 N=8 最小骨架模板</w:t>
      </w:r>
    </w:p>
    <w:p>
      <w:pPr>
        <w:spacing w:before="0" w:after="100" w:line="331" w:lineRule="auto"/>
      </w:pPr>
      <w:r>
        <w:t>为便于后续正文和附录对接，本文建议首轮主样板可先从两个四元子块构成的 N=8 结构出发。这里把对象划成两个四元块，仅仅是为了便于写出共享接口和局域更新的最小模板，不表示理论在输入层已经默认四维。</w:t>
      </w:r>
    </w:p>
    <w:p>
      <w:pPr>
        <w:pStyle w:val="Heading1"/>
      </w:pPr>
      <w:r>
        <w:t>3. 局域更新规则、相容性约束与代价函数</w:t>
      </w:r>
    </w:p>
    <w:p>
      <w:pPr>
        <w:pStyle w:val="Heading2"/>
      </w:pPr>
      <w:r>
        <w:t>3.1 更新和约束必须同层定义</w:t>
      </w:r>
    </w:p>
    <w:p>
      <w:pPr>
        <w:spacing w:before="0" w:after="100" w:line="331" w:lineRule="auto"/>
      </w:pPr>
      <w:r>
        <w:t>若 A2 只给出静态矩阵族，而不给出局域更新规则，则所谓“响应生成元”和“共享接口”会退化成静态装饰。反过来，若只给出更新规则而不给出明确约束，则模型几乎一定会沦为任意改写系统。更新与约束必须同时出现，而且必须彼此张力化。</w:t>
      </w:r>
    </w:p>
    <w:p>
      <w:pPr>
        <w:pStyle w:val="Heading2"/>
      </w:pPr>
      <w:r>
        <w:t>3.2 局域更新规则的最小定义</w:t>
      </w:r>
    </w:p>
    <w:p>
      <w:pPr>
        <w:spacing w:before="0" w:after="100" w:line="331" w:lineRule="auto"/>
      </w:pPr>
      <w:r>
        <w:t>设 X 为一个有限支撑子集，一次局域更新定义为对关系生成元族的有限支撑修改，并要求它只在 X 及其有限关系闭包上产生非零改动。A2 中不引入连续时间，只考虑有限步更新序列，用作稳定性和响应测试工具。</w:t>
      </w:r>
    </w:p>
    <w:p>
      <w:pPr>
        <w:pStyle w:val="Heading2"/>
      </w:pPr>
      <w:r>
        <w:t>3.3 三类最低约束</w:t>
      </w:r>
    </w:p>
    <w:p>
      <w:pPr>
        <w:spacing w:before="0" w:after="100" w:line="331" w:lineRule="auto"/>
      </w:pPr>
      <w:r>
        <w:t>A2 第一版至少需要三类约束：稀疏性约束、谱幅受限约束、共享一致性约束。第三条尤其重要，因为它为后续 A4 的无信号分析预留了结构接口。</w:t>
      </w:r>
    </w:p>
    <w:p>
      <w:pPr>
        <w:pStyle w:val="Heading2"/>
      </w:pPr>
      <w:r>
        <w:t>3.4 代价函数的角色</w:t>
      </w:r>
    </w:p>
    <w:p>
      <w:pPr>
        <w:spacing w:before="0" w:after="100" w:line="331" w:lineRule="auto"/>
      </w:pPr>
      <w:r>
        <w:t>为明确区分成功区、脆弱区和病态区，A2 引入一个组合代价函数，综合交换子总代价、谱碎裂代价、主子空间不稳代价、多探针分裂代价和远端边缘读出漂移代价。这里的组合量不是物理作用量，而是结构筛选器。</w:t>
      </w:r>
    </w:p>
    <w:p>
      <w:pPr>
        <w:pStyle w:val="Heading2"/>
      </w:pPr>
      <w:r>
        <w:t>3.5 为什么要把边缘漂移提前纳入</w:t>
      </w:r>
    </w:p>
    <w:p>
      <w:pPr>
        <w:spacing w:before="0" w:after="100" w:line="331" w:lineRule="auto"/>
      </w:pPr>
      <w:r>
        <w:t>如果 A2 完全不看边缘读出，那么 A4 做无信号共享接口时就会非常被动。即便 A2 还不证明无信号定理，也必须在代价函数里放入一项边缘稳定性代价来记录远端边缘稳定性的趋势。</w:t>
      </w:r>
    </w:p>
    <w:p>
      <w:pPr>
        <w:pStyle w:val="Heading2"/>
      </w:pPr>
      <w:r>
        <w:t>3.6 局域更新的建议模板</w:t>
      </w:r>
    </w:p>
    <w:p>
      <w:pPr>
        <w:spacing w:before="0" w:after="100" w:line="331" w:lineRule="auto"/>
      </w:pPr>
      <w:r>
        <w:t>局域更新可先采用最小模板：选取一个小支撑集，对与其邻接的若干矩阵元施加受限扰动，并对更新后的矩阵进行约束投影或受限裁剪，保证稀疏性、谱幅和共享一致性不被完全破坏。</w:t>
      </w:r>
    </w:p>
    <w:p>
      <w:pPr>
        <w:pStyle w:val="Heading1"/>
      </w:pPr>
      <w:r>
        <w:t>4. 近对易区的定义与读出量</w:t>
      </w:r>
    </w:p>
    <w:p>
      <w:pPr>
        <w:pStyle w:val="Heading2"/>
      </w:pPr>
      <w:r>
        <w:t>4.1 为什么近对易区是第一道门</w:t>
      </w:r>
    </w:p>
    <w:p>
      <w:pPr>
        <w:spacing w:before="0" w:after="100" w:line="331" w:lineRule="auto"/>
      </w:pPr>
      <w:r>
        <w:t>从 A1 的桥梁结构看，维数桥梁要想有任何成立的希望，首先必须有某种“近几何化”的代数迹象。在有限维关系生成元系统中，最自然的第一道迹象就是近对易区。</w:t>
      </w:r>
    </w:p>
    <w:p>
      <w:pPr>
        <w:pStyle w:val="Heading2"/>
      </w:pPr>
      <w:r>
        <w:t>4.2 总体交换子代价的定义</w:t>
      </w:r>
    </w:p>
    <w:p>
      <w:pPr>
        <w:spacing w:before="0" w:after="100" w:line="331" w:lineRule="auto"/>
      </w:pPr>
      <w:r>
        <w:t>对三类生成元定义两两交换子，并采用归一化 Frobenius 范数定义总体交换子代价。归一化的目的是避免某类生成元仅因整体尺度较小而虚假地显得“更近对易”。</w:t>
      </w:r>
    </w:p>
    <w:p>
      <w:pPr>
        <w:pStyle w:val="Heading2"/>
      </w:pPr>
      <w:r>
        <w:t>4.3 为什么单看平均交换子不够</w:t>
      </w:r>
    </w:p>
    <w:p>
      <w:pPr>
        <w:spacing w:before="0" w:after="100" w:line="331" w:lineRule="auto"/>
      </w:pPr>
      <w:r>
        <w:t>仅看平均交换子代价是不够的，因为可能出现某一对生成元严重失控，或整体平均值低但离散度很大。A2 建议同时记录平均交换子代价、最大交换子代价和交换子代价离散度。</w:t>
      </w:r>
    </w:p>
    <w:p>
      <w:pPr>
        <w:pStyle w:val="Heading2"/>
      </w:pPr>
      <w:r>
        <w:t>4.4 稳健近对易的定义</w:t>
      </w:r>
    </w:p>
    <w:p>
      <w:pPr>
        <w:spacing w:before="0" w:after="100" w:line="331" w:lineRule="auto"/>
      </w:pPr>
      <w:r>
        <w:t>A2 把“稳健近对易”定义为参数区上的性质，而非单点性质。只有在平均值、最大值和离散度三项都持续压低且对局域更新噪声小幅变化保持稳定时，某一区域才有资格被称作稳健近对易候选区。</w:t>
      </w:r>
    </w:p>
    <w:p>
      <w:pPr>
        <w:pStyle w:val="Heading2"/>
      </w:pPr>
      <w:r>
        <w:t>4.5 局域近对易与整体近对易的区别</w:t>
      </w:r>
    </w:p>
    <w:p>
      <w:pPr>
        <w:spacing w:before="0" w:after="100" w:line="331" w:lineRule="auto"/>
      </w:pPr>
      <w:r>
        <w:t>A2 应区分整体近对易和局域近对易。一个系统可能在整体上看似近对易，但局域子块内部存在剧烈不对易；也可能整体平均不太低，但某些稳定局域块已经显现出强近对易结构。</w:t>
      </w:r>
    </w:p>
    <w:p>
      <w:pPr>
        <w:pStyle w:val="Heading2"/>
      </w:pPr>
      <w:r>
        <w:t>4.6 近对易区不是成功区，只是前门</w:t>
      </w:r>
    </w:p>
    <w:p>
      <w:pPr>
        <w:spacing w:before="0" w:after="100" w:line="331" w:lineRule="auto"/>
      </w:pPr>
      <w:r>
        <w:t>近对易区只说明关系生成元之间的非交换张力在某些区间被整体压低，系统开始可能支持更稳定的联合谱与主子空间结构。它不是最终裁决，仍必须进一步接受联合谱、维数平台、多探针一致性与边缘稳定性的检验。</w:t>
      </w:r>
    </w:p>
    <w:p>
      <w:pPr>
        <w:pStyle w:val="Heading1"/>
      </w:pPr>
      <w:r>
        <w:t>5. 联合谱结构与有效维数候选</w:t>
      </w:r>
    </w:p>
    <w:p>
      <w:pPr>
        <w:pStyle w:val="Heading2"/>
      </w:pPr>
      <w:r>
        <w:t>5.1 为什么 A2 不采用单一维数定义</w:t>
      </w:r>
    </w:p>
    <w:p>
      <w:pPr>
        <w:spacing w:before="0" w:after="100" w:line="331" w:lineRule="auto"/>
      </w:pPr>
      <w:r>
        <w:t>A2 不把有效维数写成单个数，而将其理解为多读出组合的一致平台问题。不同维数定义往往敏感于不同结构，单一定义极易被参数微调操控。</w:t>
      </w:r>
    </w:p>
    <w:p>
      <w:pPr>
        <w:pStyle w:val="Heading2"/>
      </w:pPr>
      <w:r>
        <w:t>5.2 联合谱迹象的最小定义</w:t>
      </w:r>
    </w:p>
    <w:p>
      <w:pPr>
        <w:spacing w:before="0" w:after="100" w:line="331" w:lineRule="auto"/>
      </w:pPr>
      <w:r>
        <w:t>A2 不要求生成元具有真正共同本征基，而考察三个更弱的问题：主方向重叠度是否高、谱团簇结构是否一致、扰动后这种重叠与分层是否稳定。若三项同时成立，则称样板在该参数区出现了联合谱迹象。</w:t>
      </w:r>
    </w:p>
    <w:p>
      <w:pPr>
        <w:pStyle w:val="Heading2"/>
      </w:pPr>
      <w:r>
        <w:t>5.3 主子空间重叠度</w:t>
      </w:r>
    </w:p>
    <w:p>
      <w:pPr>
        <w:spacing w:before="0" w:after="100" w:line="331" w:lineRule="auto"/>
      </w:pPr>
      <w:r>
        <w:t>若多对生成元同时具有较高主子空间重叠度，则说明不同探针确实在看向同一个主结构。</w:t>
      </w:r>
    </w:p>
    <w:p>
      <w:pPr>
        <w:pStyle w:val="Heading2"/>
      </w:pPr>
      <w:r>
        <w:t>5.4 参与比维数读出</w:t>
      </w:r>
    </w:p>
    <w:p>
      <w:pPr>
        <w:spacing w:before="0" w:after="100" w:line="331" w:lineRule="auto"/>
      </w:pPr>
      <w:r>
        <w:t>A2 用参与比式的有效维数候选来刻画主结构是否集中在低维子空间。其作用不是断言真正几何维数，而是作为第一类低秩探针。</w:t>
      </w:r>
    </w:p>
    <w:p>
      <w:pPr>
        <w:pStyle w:val="Heading2"/>
      </w:pPr>
      <w:r>
        <w:t>5.5 谱间隙维数读出</w:t>
      </w:r>
    </w:p>
    <w:p>
      <w:pPr>
        <w:spacing w:before="0" w:after="100" w:line="331" w:lineRule="auto"/>
      </w:pPr>
      <w:r>
        <w:t>还需要谱间隙读出。若在某个 k 处存在稳定显著间隙，则可把该 k 视为谱间隙意义下的主子空间维数候选。</w:t>
      </w:r>
    </w:p>
    <w:p>
      <w:pPr>
        <w:pStyle w:val="Heading2"/>
      </w:pPr>
      <w:r>
        <w:t>5.6 主子空间稳定维数读出</w:t>
      </w:r>
    </w:p>
    <w:p>
      <w:pPr>
        <w:spacing w:before="0" w:after="100" w:line="331" w:lineRule="auto"/>
      </w:pPr>
      <w:r>
        <w:t>第三类读出考察在小参数扰动和局域更新后，主子空间是否仍保持相同维数与接近相同方向。</w:t>
      </w:r>
    </w:p>
    <w:p>
      <w:pPr>
        <w:pStyle w:val="Heading2"/>
      </w:pPr>
      <w:r>
        <w:t>5.7 多探针一致维数读出</w:t>
      </w:r>
    </w:p>
    <w:p>
      <w:pPr>
        <w:spacing w:before="0" w:after="100" w:line="331" w:lineRule="auto"/>
      </w:pPr>
      <w:r>
        <w:t>A2 中最严厉的一类维数判据，是不同探针生成元是否给出一致维数。若它们严重分裂，则整个样板都不能被称作稳健 rank-4 候选区。</w:t>
      </w:r>
    </w:p>
    <w:p>
      <w:pPr>
        <w:pStyle w:val="Heading2"/>
      </w:pPr>
      <w:r>
        <w:t>5.8 组合有效维数向量</w:t>
      </w:r>
    </w:p>
    <w:p>
      <w:pPr>
        <w:spacing w:before="0" w:after="100" w:line="331" w:lineRule="auto"/>
      </w:pPr>
      <w:r>
        <w:t>基于四类读出，A2 把有效维数候选写成向量，并把真正问题改写为：是否存在参数区，使得这个向量稳定地聚集在 (4,4,4,4) 附近。</w:t>
      </w:r>
    </w:p>
    <w:p>
      <w:pPr>
        <w:pStyle w:val="Heading2"/>
      </w:pPr>
      <w:r>
        <w:t>5.9 为什么 A2 仍不能把 rank-4 写成成功终点</w:t>
      </w:r>
    </w:p>
    <w:p>
      <w:pPr>
        <w:spacing w:before="0" w:after="100" w:line="331" w:lineRule="auto"/>
      </w:pPr>
      <w:r>
        <w:t>即便出现了稳健的 rank-4 候选区，A2 也只能得出有限层级的结论，不能越级输出 Lorentz 几何、单度规或 GR 低能极限等高层结论。</w:t>
      </w:r>
    </w:p>
    <w:p>
      <w:pPr>
        <w:pStyle w:val="Heading1"/>
      </w:pPr>
      <w:r>
        <w:t>6. 参数扫描——成功区、脆弱区与病态区</w:t>
      </w:r>
    </w:p>
    <w:p>
      <w:pPr>
        <w:pStyle w:val="Heading2"/>
      </w:pPr>
      <w:r>
        <w:t>6.1 为什么参数扫描是正文核心</w:t>
      </w:r>
    </w:p>
    <w:p>
      <w:pPr>
        <w:spacing w:before="0" w:after="100" w:line="331" w:lineRule="auto"/>
      </w:pPr>
      <w:r>
        <w:t>参数扫描不是附加图表，而是 A2 的核心组成部分。它承担三项职责：判断近对易区究竟是面、带、岛，还是仅仅是孤点；判断 rank-4 候选是否具有统计稳健性雏形；为 A1 的三级失败判据提供第一轮真正的计算入口。</w:t>
      </w:r>
    </w:p>
    <w:p>
      <w:pPr>
        <w:pStyle w:val="Heading2"/>
      </w:pPr>
      <w:r>
        <w:t>6.2 建议的首轮扫描参数空间</w:t>
      </w:r>
    </w:p>
    <w:p>
      <w:pPr>
        <w:spacing w:before="0" w:after="100" w:line="331" w:lineRule="auto"/>
      </w:pPr>
      <w:r>
        <w:t>首轮参数扫描建议在总体非对易增强参数、三类生成元权重、骨架连通密度或跨块耦合强度参数、以及局域更新噪声幅度参数上进行。整体上，应优先关注总体非对易与局域更新噪声这两条扫描轴。</w:t>
      </w:r>
    </w:p>
    <w:p>
      <w:pPr>
        <w:pStyle w:val="Heading2"/>
      </w:pPr>
      <w:r>
        <w:t>6.3 首轮扫描的基本输出量</w:t>
      </w:r>
    </w:p>
    <w:p>
      <w:pPr>
        <w:spacing w:before="0" w:after="100" w:line="331" w:lineRule="auto"/>
      </w:pPr>
      <w:r>
        <w:t>参数扫描至少应同时记录五类量：近对易读出、联合谱读出、有效维数读出、多探针分裂读出和边缘稳定读出。首轮参数扫描至少要把这五类读出同时画成相图区、热力图或分区图，而不是只挑一项最好看的指标展示。</w:t>
      </w:r>
    </w:p>
    <w:p>
      <w:pPr>
        <w:pStyle w:val="Heading2"/>
      </w:pPr>
      <w:r>
        <w:t>6.4 成功区的正式定义</w:t>
      </w:r>
    </w:p>
    <w:p>
      <w:pPr>
        <w:spacing w:before="0" w:after="100" w:line="331" w:lineRule="auto"/>
      </w:pPr>
      <w:r>
        <w:t>本文把“成功区”定义为参数空间中的一个稳健区域而不是单点。只有当近对易稳健成立、联合谱主结构一致、有效维数平台出现、多探针分裂受控且边缘漂移不失控时，某一区域才有资格被称作 A2 的成功区。</w:t>
      </w:r>
    </w:p>
    <w:p>
      <w:pPr>
        <w:pStyle w:val="Heading2"/>
      </w:pPr>
      <w:r>
        <w:t>6.5 脆弱区的正式定义</w:t>
      </w:r>
    </w:p>
    <w:p>
      <w:pPr>
        <w:spacing w:before="0" w:after="100" w:line="331" w:lineRule="auto"/>
      </w:pPr>
      <w:r>
        <w:t>脆弱区是某些关键读出短暂出现了好迹象，但这些迹象不具有邻域稳健性、探针一致性或扰动稳定性。例如近对易只在极窄窗口成立、rank-4 只在微调点出现、多探针不一致、对局域更新极敏感或边缘稳定性可疑等。</w:t>
      </w:r>
    </w:p>
    <w:p>
      <w:pPr>
        <w:pStyle w:val="Heading2"/>
      </w:pPr>
      <w:r>
        <w:t>6.6 病态区的正式定义</w:t>
      </w:r>
    </w:p>
    <w:p>
      <w:pPr>
        <w:spacing w:before="0" w:after="100" w:line="331" w:lineRule="auto"/>
      </w:pPr>
      <w:r>
        <w:t>若高交换子主导、谱碎裂严重、主子空间跳变频繁、多探针分裂显著、边缘漂移失控等现象成为主导，则应明确标记为病态主导区。A2 必须把这类区域画出来，因为只有画出病态区，样板模型才真正具备可证伪性。</w:t>
      </w:r>
    </w:p>
    <w:p>
      <w:pPr>
        <w:pStyle w:val="Heading2"/>
      </w:pPr>
      <w:r>
        <w:t>6.7 参数扫描的三层判图区分</w:t>
      </w:r>
    </w:p>
    <w:p>
      <w:pPr>
        <w:spacing w:before="0" w:after="100" w:line="331" w:lineRule="auto"/>
      </w:pPr>
      <w:r>
        <w:t>本文建议参数扫描结果按三层图景组织：第一层是代数层判区，第二层是谱-维数层判区，第三层是共享稳定层判区。这样做可以避免把所有“看起来有点好”的点都堆到一个篮子里。</w:t>
      </w:r>
    </w:p>
    <w:p>
      <w:pPr>
        <w:pStyle w:val="Heading2"/>
      </w:pPr>
      <w:r>
        <w:t>6.8 为什么必须识别危险伪成功区</w:t>
      </w:r>
    </w:p>
    <w:p>
      <w:pPr>
        <w:spacing w:before="0" w:after="100" w:line="331" w:lineRule="auto"/>
      </w:pPr>
      <w:r>
        <w:t>A2 若不主动识别危险伪成功区，后续 A4 很可能会遭遇结构性翻车。危险伪成功区是指近对易与 rank-4 迹象都不错，但远端边缘读出也随局域更新显著漂移的区域。</w:t>
      </w:r>
    </w:p>
    <w:p>
      <w:pPr>
        <w:pStyle w:val="Heading2"/>
      </w:pPr>
      <w:r>
        <w:t>6.9 首轮参数扫描的最小通过结果</w:t>
      </w:r>
    </w:p>
    <w:p>
      <w:pPr>
        <w:spacing w:before="0" w:after="100" w:line="331" w:lineRule="auto"/>
      </w:pPr>
      <w:r>
        <w:t>只要首轮参数扫描能做到以下三件事，就已经是合格进展：明确找到至少一个小范围成功区或候选稳健区；明确找到至少一个脆弱区；明确识别至少一类病态主导区或危险伪成功区。</w:t>
      </w:r>
    </w:p>
    <w:p>
      <w:pPr>
        <w:pStyle w:val="Heading1"/>
      </w:pPr>
      <w:r>
        <w:t>7. 样板验收标准与失败判据映射</w:t>
      </w:r>
    </w:p>
    <w:p>
      <w:pPr>
        <w:pStyle w:val="Heading2"/>
      </w:pPr>
      <w:r>
        <w:t>7.1 为什么 A2 必须显式映射到 A1 的失败判据</w:t>
      </w:r>
    </w:p>
    <w:p>
      <w:pPr>
        <w:spacing w:before="0" w:after="100" w:line="331" w:lineRule="auto"/>
      </w:pPr>
      <w:r>
        <w:t>A2 不是一篇独立的技术论文，而是主线 A 的施工件。因此，它的验收标准不能由 A2 自己临时发明，而必须直接映射到 A1 已锁定的失败判据体系。</w:t>
      </w:r>
    </w:p>
    <w:p>
      <w:pPr>
        <w:pStyle w:val="Heading2"/>
      </w:pPr>
      <w:r>
        <w:t>7.2 A2 对二级失败的映射：样板可计算性</w:t>
      </w:r>
    </w:p>
    <w:p>
      <w:pPr>
        <w:spacing w:before="0" w:after="100" w:line="331" w:lineRule="auto"/>
      </w:pPr>
      <w:r>
        <w:t>A2 至少有四项最低验收要求：必须有明确有限维样板；必须有可执行的参数扫描方案；必须有成功区与失败区并列展示；必须可被别人复核。若无法满足，则应判为触发 A1 的二级失败。</w:t>
      </w:r>
    </w:p>
    <w:p>
      <w:pPr>
        <w:pStyle w:val="Heading2"/>
      </w:pPr>
      <w:r>
        <w:t>7.3 A2 对三级失败的映射：维数桥梁失败</w:t>
      </w:r>
    </w:p>
    <w:p>
      <w:pPr>
        <w:spacing w:before="0" w:after="100" w:line="331" w:lineRule="auto"/>
      </w:pPr>
      <w:r>
        <w:t>A2 最核心的职责，是处理 A1 的三级失败，即是否存在稳定的 rank-4 候选区。若根本没有 rank-4 候选区，或只在极个别微调点出现，或不同维数读出彼此冲突，或 rank-4 对局域更新不稳，则当前样板不支持维数桥梁。</w:t>
      </w:r>
    </w:p>
    <w:p>
      <w:pPr>
        <w:pStyle w:val="Heading2"/>
      </w:pPr>
      <w:r>
        <w:t>7.4 A2 与四级失败的关系：只负责预埋，不负责完成</w:t>
      </w:r>
    </w:p>
    <w:p>
      <w:pPr>
        <w:spacing w:before="0" w:after="100" w:line="331" w:lineRule="auto"/>
      </w:pPr>
      <w:r>
        <w:t>A2 不承担完整无信号证明任务，但必须给 A4 预留真实接口。最低要求是同时定义联合相关读出与边缘读出，在参数扫描中区分相关增强与边缘漂移，并标记危险伪成功区。</w:t>
      </w:r>
    </w:p>
    <w:p>
      <w:pPr>
        <w:pStyle w:val="Heading2"/>
      </w:pPr>
      <w:r>
        <w:t>7.5 A2 的最低通过标准</w:t>
      </w:r>
    </w:p>
    <w:p>
      <w:pPr>
        <w:spacing w:before="0" w:after="100" w:line="331" w:lineRule="auto"/>
      </w:pPr>
      <w:r>
        <w:t>A2 的最低通过标准包括五条：有限维样板已明确给出；参数扫描框架已建立；成功区、脆弱区、病态区已能区分；rank-4 是否稳健已有初步裁决；A4 所需的最小无信号接口已预埋。</w:t>
      </w:r>
    </w:p>
    <w:p>
      <w:pPr>
        <w:pStyle w:val="Heading2"/>
      </w:pPr>
      <w:r>
        <w:t>7.6 A2 的三类裁决结论</w:t>
      </w:r>
    </w:p>
    <w:p>
      <w:pPr>
        <w:spacing w:before="0" w:after="100" w:line="331" w:lineRule="auto"/>
      </w:pPr>
      <w:r>
        <w:t>为保证口径统一，A2 最终只允许输出三类裁决：初步通过、脆弱未决、回退。这比“成功/失败”二元口径更适合当前阶段，因为它保留了工程上常见的“未决但有价值”的中间状态。</w:t>
      </w:r>
    </w:p>
    <w:p>
      <w:pPr>
        <w:pStyle w:val="Heading2"/>
      </w:pPr>
      <w:r>
        <w:t>7.7 为什么 A2 不能越级输出高层结论</w:t>
      </w:r>
    </w:p>
    <w:p>
      <w:pPr>
        <w:spacing w:before="0" w:after="100" w:line="331" w:lineRule="auto"/>
      </w:pPr>
      <w:r>
        <w:t>即便 A2 得到“初步通过”，也仍然只能得出有限层级的结论，不能越级输出连续时空、Lorentz 符号、单度规、GR 低能极限或 Bell / 无信号问题的最终解决。</w:t>
      </w:r>
    </w:p>
    <w:p>
      <w:pPr>
        <w:pStyle w:val="Heading2"/>
      </w:pPr>
      <w:r>
        <w:t>7.8 与后续 A3 的直接交接要求</w:t>
      </w:r>
    </w:p>
    <w:p>
      <w:pPr>
        <w:spacing w:before="0" w:after="100" w:line="331" w:lineRule="auto"/>
      </w:pPr>
      <w:r>
        <w:t>若 A2 取得“初步通过”或“脆弱未决但值得继续”的裁决，则必须向 A3 交出代表性成功区参数簇、脆弱区参数簇、病态区参数簇、统一的有效维数计算流程，以及多探针一致性和边缘读出计算接口。</w:t>
      </w:r>
    </w:p>
    <w:p>
      <w:pPr>
        <w:pStyle w:val="Heading1"/>
      </w:pPr>
      <w:r>
        <w:t>8. 与主线 B / 第四编 / A3–A5 的接口说明</w:t>
      </w:r>
    </w:p>
    <w:p>
      <w:pPr>
        <w:pStyle w:val="Heading2"/>
      </w:pPr>
      <w:r>
        <w:t>8.1 为什么 A2 必须单列接口说明</w:t>
      </w:r>
    </w:p>
    <w:p>
      <w:pPr>
        <w:spacing w:before="0" w:after="100" w:line="331" w:lineRule="auto"/>
      </w:pPr>
      <w:r>
        <w:t>A2 必须明确回答三个问题：A2 的样板成功，究竟能给主线 B 什么资格，而不能给什么资格；A2 的读出量，如何约束第四编中的有效变量写法；A2 的输出，如何作为 A3–A5 的直接输入，而不是被重新发明一遍。</w:t>
      </w:r>
    </w:p>
    <w:p>
      <w:pPr>
        <w:pStyle w:val="Heading2"/>
      </w:pPr>
      <w:r>
        <w:t>8.2 A2 与主线 B 的关系</w:t>
      </w:r>
    </w:p>
    <w:p>
      <w:pPr>
        <w:spacing w:before="0" w:after="100" w:line="331" w:lineRule="auto"/>
      </w:pPr>
      <w:r>
        <w:t>A2 若取得“初步通过”裁决，只能支持以下有限判断：主线 B 可以继续作为候选连续模板保留；主线 B 中的连续变量仍只能被视为有效参数化变量；主线 B 仍不得写成“已推出”。</w:t>
      </w:r>
    </w:p>
    <w:p>
      <w:pPr>
        <w:pStyle w:val="Heading2"/>
      </w:pPr>
      <w:r>
        <w:t>8.3 A2 对主线 B 的最低支撑内容</w:t>
      </w:r>
    </w:p>
    <w:p>
      <w:pPr>
        <w:spacing w:before="0" w:after="100" w:line="331" w:lineRule="auto"/>
      </w:pPr>
      <w:r>
        <w:t>A2 若成功，至少应向主线 B 输送三类信息：几何相存在的样板迹象；多探针一致性的约束；边缘稳定性的预警。主线 B 后续任何升级，都必须服从 A2 给出的支持加限制双重口径。</w:t>
      </w:r>
    </w:p>
    <w:p>
      <w:pPr>
        <w:pStyle w:val="Heading2"/>
      </w:pPr>
      <w:r>
        <w:t>8.4 A2 与第四编的关系</w:t>
      </w:r>
    </w:p>
    <w:p>
      <w:pPr>
        <w:spacing w:before="0" w:after="100" w:line="331" w:lineRule="auto"/>
      </w:pPr>
      <w:r>
        <w:t>A2 与第四编是前置裁决关系。A2 先回答底层离散样板是否连最基本的近几何迹象与稳定秩平台都能出现；第四编只在 A2 至少“初步通过”或“脆弱未决但可继续”的情况下，才有资格继续组织传播、响应、守恒与弱场比较等较高层结构。</w:t>
      </w:r>
    </w:p>
    <w:p>
      <w:pPr>
        <w:pStyle w:val="Heading2"/>
      </w:pPr>
      <w:r>
        <w:t>8.5 A2 对第四编变量写法的强制约束</w:t>
      </w:r>
    </w:p>
    <w:p>
      <w:pPr>
        <w:spacing w:before="0" w:after="100" w:line="331" w:lineRule="auto"/>
      </w:pPr>
      <w:r>
        <w:t>第四编中的任意有效变量，不得再写成基本对象，而应写成来自底层关系生成元的某类粗粒化组合、来自主子空间结构的某类几何化代理量、或来自局域更新响应的某类有效读出。语气必须保持“候选—迹象—匹配”。</w:t>
      </w:r>
    </w:p>
    <w:p>
      <w:pPr>
        <w:pStyle w:val="Heading2"/>
      </w:pPr>
      <w:r>
        <w:t>8.6 A2 与 A3 的接口</w:t>
      </w:r>
    </w:p>
    <w:p>
      <w:pPr>
        <w:spacing w:before="0" w:after="100" w:line="331" w:lineRule="auto"/>
      </w:pPr>
      <w:r>
        <w:t>A2 必须向 A3 移交代表性成功区参数簇、脆弱区参数簇、病态区参数簇以及统一的有效维数计算流程。A2 不负责证明 rank-4 是典型相，但它必须把这个问题送到 A3 的台面上。</w:t>
      </w:r>
    </w:p>
    <w:p>
      <w:pPr>
        <w:pStyle w:val="Heading2"/>
      </w:pPr>
      <w:r>
        <w:t>8.7 A2 与 A4 的接口</w:t>
      </w:r>
    </w:p>
    <w:p>
      <w:pPr>
        <w:spacing w:before="0" w:after="100" w:line="331" w:lineRule="auto"/>
      </w:pPr>
      <w:r>
        <w:t>A2 至少应向 A4 移交三样东西：联合相关增强读出、远端边缘读出稳定量、危险伪成功区清单。A2 与 A4 的关系是“预埋共享—边缘双读出”到“正式审查无信号共享桥梁”的过渡。</w:t>
      </w:r>
    </w:p>
    <w:p>
      <w:pPr>
        <w:pStyle w:val="Heading2"/>
      </w:pPr>
      <w:r>
        <w:t>8.8 A2 与 A5 的接口</w:t>
      </w:r>
    </w:p>
    <w:p>
      <w:pPr>
        <w:spacing w:before="0" w:after="100" w:line="331" w:lineRule="auto"/>
      </w:pPr>
      <w:r>
        <w:t>A2 对 A5 的主要贡献有三项：提供维数桥梁的第一手候选证据；提供多探针一致性的早期约束；提供病态与伪成功区识别框架。A2 不直接产出 A5 的总表，但它产出 A5 总表最底层的一批原始样板证据。</w:t>
      </w:r>
    </w:p>
    <w:p>
      <w:pPr>
        <w:pStyle w:val="Heading1"/>
      </w:pPr>
      <w:r>
        <w:t>9. 结论</w:t>
      </w:r>
    </w:p>
    <w:p>
      <w:pPr>
        <w:pStyle w:val="Heading2"/>
      </w:pPr>
      <w:r>
        <w:t>9.1 本文完成了什么</w:t>
      </w:r>
    </w:p>
    <w:p>
      <w:pPr>
        <w:spacing w:before="0" w:after="100" w:line="331" w:lineRule="auto"/>
      </w:pPr>
      <w:r>
        <w:t>本文给出了一个有限维、无背景、可失败的离散关系样板框架，并为近对易区、联合谱主结构和有效维数候选提供了统一的读出与参数扫描口径。A2 的贡献在于把“近几何迹象是否存在、是否稳健、是否可失败”这些问题从原则层推进到可计算层。</w:t>
      </w:r>
    </w:p>
    <w:p>
      <w:pPr>
        <w:pStyle w:val="Heading2"/>
      </w:pPr>
      <w:r>
        <w:t>9.2 本文没有完成什么</w:t>
      </w:r>
    </w:p>
    <w:p>
      <w:pPr>
        <w:spacing w:before="0" w:after="100" w:line="331" w:lineRule="auto"/>
      </w:pPr>
      <w:r>
        <w:t>A2 并没有证明四维时空已经推出，没有建立 Lorentz 符号或光锥结构，没有证明单度规已经形成，没有完成无信号共享桥梁，也没有恢复 GR 或建立连续 EFT。这些声明的作用是维持主线 A 必需的层级纪律。</w:t>
      </w:r>
    </w:p>
    <w:p>
      <w:pPr>
        <w:pStyle w:val="Heading2"/>
      </w:pPr>
      <w:r>
        <w:t>9.3 A2 的真正结论应如何表述</w:t>
      </w:r>
    </w:p>
    <w:p>
      <w:pPr>
        <w:spacing w:before="0" w:after="100" w:line="331" w:lineRule="auto"/>
      </w:pPr>
      <w:r>
        <w:t>更准确而安全的结论应写成：本文给出了一个有限维、无背景、可失败的离散关系样板框架，并为近对易区、联合谱主结构和有效维数候选提供了统一的读出与参数扫描口径。若该框架在代表性参数扫描中持续出现稳健的 rank-4 候选区，则 BNCFT 主线 A 的维数桥梁获得第一轮计算支撑；若这些结构只在微调点出现或伴随多探针分裂、边缘失稳等问题，则当前样板应判为脆弱未决或回退。</w:t>
      </w:r>
    </w:p>
    <w:p>
      <w:pPr>
        <w:pStyle w:val="Heading2"/>
      </w:pPr>
      <w:r>
        <w:t>9.4 下一步工作的优先顺序</w:t>
      </w:r>
    </w:p>
    <w:p>
      <w:pPr>
        <w:spacing w:before="0" w:after="100" w:line="331" w:lineRule="auto"/>
      </w:pPr>
      <w:r>
        <w:t>下一步最优先的工作有四项：把最小 N=8 样板完全具体化；执行第一轮参数扫描；形成第一版三类区域图；把结果打包移交给 A3 与 A4。</w:t>
      </w:r>
    </w:p>
    <w:p>
      <w:pPr>
        <w:pStyle w:val="Heading2"/>
      </w:pPr>
      <w:r>
        <w:t>9.5 总结性结论</w:t>
      </w:r>
    </w:p>
    <w:p>
      <w:pPr>
        <w:spacing w:before="0" w:after="100" w:line="331" w:lineRule="auto"/>
      </w:pPr>
      <w:r>
        <w:t>A2 的意义不在于宣布“BNCFT 已经得到时空”，而在于完成了主线 A 从定义层到样板层的关键跨越：它把 A1 中的离散关系代数与共享接口，从原则性母理论候选推进到了一个可计算、可扫描、可失败的有限维试验台。今后主线 A 的所有更高层工作，都必须以这一类样板所提供的实际结构证据为起点。</w:t>
      </w:r>
    </w:p>
    <w:p>
      <w:pPr>
        <w:pStyle w:val="Heading1"/>
      </w:pPr>
      <w:r>
        <w:t>附录 A. 一个最小 N=8 样板模板</w:t>
      </w:r>
    </w:p>
    <w:p>
      <w:pPr>
        <w:spacing w:before="0" w:after="100" w:line="331" w:lineRule="auto"/>
      </w:pPr>
      <w:r>
        <w:t>可先取 N=8，三类生成元为 8×8 实对称矩阵。初始模板可设为：R1 为稀疏骨架矩阵，R2 为共享约束矩阵，R3 为响应传播矩阵，并在其上加入由总体非对易参数、骨架密度参数与局域更新噪声参数控制的局域扰动。第一轮不追求物理真实，只追求能否形成近对易区、出现联合谱主结构、读出稳定维数平台。</w:t>
      </w:r>
    </w:p>
    <w:p>
      <w:pPr>
        <w:pStyle w:val="Heading1"/>
      </w:pPr>
      <w:r>
        <w:t>附录 B. 读出量计算流程（伪代码）</w:t>
      </w:r>
    </w:p>
    <w:p>
      <w:pPr>
        <w:spacing w:before="0" w:after="100" w:line="331" w:lineRule="auto"/>
      </w:pPr>
      <w:r>
        <w:t>输入：对象规模、三类关系生成元与核心参数。步骤 1：构造初始三类关系生成元。步骤 2：在给定参数下施加局域更新与扰动。步骤 3：计算三对交换子及总体交换子代价。步骤 4：分别提取三类生成元的主子空间与谱分布。步骤 5：计算参与比维数、谱间隙维数、主子空间稳定维数、多探针一致维数。步骤 6：记录联合相关增强量与远端边缘稳定量。步骤 7：扫描参数网格，标记成功区、脆弱区、病态区。</w:t>
      </w:r>
    </w:p>
    <w:p>
      <w:pPr>
        <w:pStyle w:val="Heading1"/>
      </w:pPr>
      <w:r>
        <w:t>附录 C. 最小命题草案与数值检验口径</w:t>
      </w:r>
    </w:p>
    <w:p>
      <w:pPr>
        <w:spacing w:before="0" w:after="100" w:line="331" w:lineRule="auto"/>
      </w:pPr>
      <w:r>
        <w:t>命题草案 1：若一组关系生成元在某参数区形成稳健近对易区，则存在定义有效维数候选的合理主子空间。命题草案 2：若近对易区同时伴随联合谱一致聚集与多探针主结构一致，则该区可作为 rank-4 候选区的前体检验对象。命题草案 3：若参数扫描只能在微调点看到 rank-4，而在小扰动下迅速消失，则该样板不支持维数桥梁稳健性，应按三级失败口径处理。</w:t>
      </w:r>
    </w:p>
    <w:p>
      <w:pPr>
        <w:pStyle w:val="Heading1"/>
      </w:pPr>
      <w:r>
        <w:t>A2 最低通过标准总览</w:t>
      </w:r>
    </w:p>
    <w:tbl>
      <w:tblPr>
        <w:tblStyle w:val="TableGrid"/>
        <w:tblW w:type="auto" w:w="0"/>
        <w:tblLook w:firstColumn="1" w:firstRow="1" w:lastColumn="0" w:lastRow="0" w:noHBand="0" w:noVBand="1" w:val="04A0"/>
      </w:tblPr>
      <w:tblGrid>
        <w:gridCol w:w="3135"/>
        <w:gridCol w:w="3135"/>
        <w:gridCol w:w="3135"/>
      </w:tblGrid>
      <w:tr>
        <w:tc>
          <w:tcPr>
            <w:tcW w:type="dxa" w:w="3135"/>
            <w:tcMar>
              <w:top w:w="140" w:type="dxa"/>
              <w:start w:w="160" w:type="dxa"/>
              <w:bottom w:w="140" w:type="dxa"/>
              <w:end w:w="160" w:type="dxa"/>
            </w:tcMar>
          </w:tcPr>
          <w:p>
            <w:pPr>
              <w:jc w:val="center"/>
            </w:pPr>
            <w:r>
              <w:rPr>
                <w:b/>
              </w:rPr>
              <w:t>项目</w:t>
            </w:r>
          </w:p>
        </w:tc>
        <w:tc>
          <w:tcPr>
            <w:tcW w:type="dxa" w:w="3135"/>
            <w:tcMar>
              <w:top w:w="140" w:type="dxa"/>
              <w:start w:w="160" w:type="dxa"/>
              <w:bottom w:w="140" w:type="dxa"/>
              <w:end w:w="160" w:type="dxa"/>
            </w:tcMar>
          </w:tcPr>
          <w:p>
            <w:pPr>
              <w:jc w:val="center"/>
            </w:pPr>
            <w:r>
              <w:rPr>
                <w:b/>
              </w:rPr>
              <w:t>要求</w:t>
            </w:r>
          </w:p>
        </w:tc>
        <w:tc>
          <w:tcPr>
            <w:tcW w:type="dxa" w:w="3135"/>
            <w:tcMar>
              <w:top w:w="140" w:type="dxa"/>
              <w:start w:w="160" w:type="dxa"/>
              <w:bottom w:w="140" w:type="dxa"/>
              <w:end w:w="160" w:type="dxa"/>
            </w:tcMar>
          </w:tcPr>
          <w:p>
            <w:pPr>
              <w:jc w:val="center"/>
            </w:pPr>
            <w:r>
              <w:rPr>
                <w:b/>
              </w:rPr>
              <w:t>A1 对应层级</w:t>
            </w:r>
          </w:p>
        </w:tc>
      </w:tr>
      <w:tr>
        <w:tc>
          <w:tcPr>
            <w:tcW w:type="dxa" w:w="3135"/>
            <w:tcMar>
              <w:top w:w="140" w:type="dxa"/>
              <w:start w:w="160" w:type="dxa"/>
              <w:bottom w:w="140" w:type="dxa"/>
              <w:end w:w="160" w:type="dxa"/>
            </w:tcMar>
          </w:tcPr>
          <w:p>
            <w:pPr>
              <w:spacing w:before="0" w:after="0" w:line="300" w:lineRule="auto"/>
              <w:jc w:val="center"/>
            </w:pPr>
            <w:r>
              <w:t>有限维样板</w:t>
            </w:r>
          </w:p>
        </w:tc>
        <w:tc>
          <w:tcPr>
            <w:tcW w:type="dxa" w:w="3135"/>
            <w:tcMar>
              <w:top w:w="140" w:type="dxa"/>
              <w:start w:w="160" w:type="dxa"/>
              <w:bottom w:w="140" w:type="dxa"/>
              <w:end w:w="160" w:type="dxa"/>
            </w:tcMar>
          </w:tcPr>
          <w:p>
            <w:pPr>
              <w:spacing w:before="0" w:after="0" w:line="300" w:lineRule="auto"/>
              <w:jc w:val="left"/>
            </w:pPr>
            <w:r>
              <w:t>已给出对象规模、生成元、更新与约束</w:t>
            </w:r>
          </w:p>
        </w:tc>
        <w:tc>
          <w:tcPr>
            <w:tcW w:type="dxa" w:w="3135"/>
            <w:tcMar>
              <w:top w:w="140" w:type="dxa"/>
              <w:start w:w="160" w:type="dxa"/>
              <w:bottom w:w="140" w:type="dxa"/>
              <w:end w:w="160" w:type="dxa"/>
            </w:tcMar>
          </w:tcPr>
          <w:p>
            <w:pPr>
              <w:spacing w:before="0" w:after="0" w:line="300" w:lineRule="auto"/>
              <w:jc w:val="center"/>
            </w:pPr>
            <w:r>
              <w:t>二级失败</w:t>
            </w:r>
          </w:p>
        </w:tc>
      </w:tr>
      <w:tr>
        <w:tc>
          <w:tcPr>
            <w:tcW w:type="dxa" w:w="3135"/>
            <w:tcMar>
              <w:top w:w="140" w:type="dxa"/>
              <w:start w:w="160" w:type="dxa"/>
              <w:bottom w:w="140" w:type="dxa"/>
              <w:end w:w="160" w:type="dxa"/>
            </w:tcMar>
          </w:tcPr>
          <w:p>
            <w:pPr>
              <w:spacing w:before="0" w:after="0" w:line="300" w:lineRule="auto"/>
              <w:jc w:val="center"/>
            </w:pPr>
            <w:r>
              <w:t>参数扫描</w:t>
            </w:r>
          </w:p>
        </w:tc>
        <w:tc>
          <w:tcPr>
            <w:tcW w:type="dxa" w:w="3135"/>
            <w:tcMar>
              <w:top w:w="140" w:type="dxa"/>
              <w:start w:w="160" w:type="dxa"/>
              <w:bottom w:w="140" w:type="dxa"/>
              <w:end w:w="160" w:type="dxa"/>
            </w:tcMar>
          </w:tcPr>
          <w:p>
            <w:pPr>
              <w:spacing w:before="0" w:after="0" w:line="300" w:lineRule="auto"/>
              <w:jc w:val="left"/>
            </w:pPr>
            <w:r>
              <w:t>已给出读出量与区域划分口径</w:t>
            </w:r>
          </w:p>
        </w:tc>
        <w:tc>
          <w:tcPr>
            <w:tcW w:type="dxa" w:w="3135"/>
            <w:tcMar>
              <w:top w:w="140" w:type="dxa"/>
              <w:start w:w="160" w:type="dxa"/>
              <w:bottom w:w="140" w:type="dxa"/>
              <w:end w:w="160" w:type="dxa"/>
            </w:tcMar>
          </w:tcPr>
          <w:p>
            <w:pPr>
              <w:spacing w:before="0" w:after="0" w:line="300" w:lineRule="auto"/>
              <w:jc w:val="center"/>
            </w:pPr>
            <w:r>
              <w:t>二级/三级失败</w:t>
            </w:r>
          </w:p>
        </w:tc>
      </w:tr>
      <w:tr>
        <w:tc>
          <w:tcPr>
            <w:tcW w:type="dxa" w:w="3135"/>
            <w:tcMar>
              <w:top w:w="140" w:type="dxa"/>
              <w:start w:w="160" w:type="dxa"/>
              <w:bottom w:w="140" w:type="dxa"/>
              <w:end w:w="160" w:type="dxa"/>
            </w:tcMar>
          </w:tcPr>
          <w:p>
            <w:pPr>
              <w:spacing w:before="0" w:after="0" w:line="300" w:lineRule="auto"/>
              <w:jc w:val="center"/>
            </w:pPr>
            <w:r>
              <w:t>rank-4 裁决</w:t>
            </w:r>
          </w:p>
        </w:tc>
        <w:tc>
          <w:tcPr>
            <w:tcW w:type="dxa" w:w="3135"/>
            <w:tcMar>
              <w:top w:w="140" w:type="dxa"/>
              <w:start w:w="160" w:type="dxa"/>
              <w:bottom w:w="140" w:type="dxa"/>
              <w:end w:w="160" w:type="dxa"/>
            </w:tcMar>
          </w:tcPr>
          <w:p>
            <w:pPr>
              <w:spacing w:before="0" w:after="0" w:line="300" w:lineRule="auto"/>
              <w:jc w:val="left"/>
            </w:pPr>
            <w:r>
              <w:t>支持/未决/回退三类输出</w:t>
            </w:r>
          </w:p>
        </w:tc>
        <w:tc>
          <w:tcPr>
            <w:tcW w:type="dxa" w:w="3135"/>
            <w:tcMar>
              <w:top w:w="140" w:type="dxa"/>
              <w:start w:w="160" w:type="dxa"/>
              <w:bottom w:w="140" w:type="dxa"/>
              <w:end w:w="160" w:type="dxa"/>
            </w:tcMar>
          </w:tcPr>
          <w:p>
            <w:pPr>
              <w:spacing w:before="0" w:after="0" w:line="300" w:lineRule="auto"/>
              <w:jc w:val="center"/>
            </w:pPr>
            <w:r>
              <w:t>三级失败</w:t>
            </w:r>
          </w:p>
        </w:tc>
      </w:tr>
      <w:tr>
        <w:tc>
          <w:tcPr>
            <w:tcW w:type="dxa" w:w="3135"/>
            <w:tcMar>
              <w:top w:w="140" w:type="dxa"/>
              <w:start w:w="160" w:type="dxa"/>
              <w:bottom w:w="140" w:type="dxa"/>
              <w:end w:w="160" w:type="dxa"/>
            </w:tcMar>
          </w:tcPr>
          <w:p>
            <w:pPr>
              <w:spacing w:before="0" w:after="0" w:line="300" w:lineRule="auto"/>
              <w:jc w:val="center"/>
            </w:pPr>
            <w:r>
              <w:t>共享槽口</w:t>
            </w:r>
          </w:p>
        </w:tc>
        <w:tc>
          <w:tcPr>
            <w:tcW w:type="dxa" w:w="3135"/>
            <w:tcMar>
              <w:top w:w="140" w:type="dxa"/>
              <w:start w:w="160" w:type="dxa"/>
              <w:bottom w:w="140" w:type="dxa"/>
              <w:end w:w="160" w:type="dxa"/>
            </w:tcMar>
          </w:tcPr>
          <w:p>
            <w:pPr>
              <w:spacing w:before="0" w:after="0" w:line="300" w:lineRule="auto"/>
              <w:jc w:val="left"/>
            </w:pPr>
            <w:r>
              <w:t>联合相关与边缘读出同步定义</w:t>
            </w:r>
          </w:p>
        </w:tc>
        <w:tc>
          <w:tcPr>
            <w:tcW w:type="dxa" w:w="3135"/>
            <w:tcMar>
              <w:top w:w="140" w:type="dxa"/>
              <w:start w:w="160" w:type="dxa"/>
              <w:bottom w:w="140" w:type="dxa"/>
              <w:end w:w="160" w:type="dxa"/>
            </w:tcMar>
          </w:tcPr>
          <w:p>
            <w:pPr>
              <w:spacing w:before="0" w:after="0" w:line="300" w:lineRule="auto"/>
              <w:jc w:val="center"/>
            </w:pPr>
            <w:r>
              <w:t>四级失败前置</w:t>
            </w:r>
          </w:p>
        </w:tc>
      </w:tr>
    </w:tbl>
    <w:sectPr w:rsidR="00FC693F" w:rsidRPr="0006063C" w:rsidSect="00034616">
      <w:footerReference w:type="default" r:id="rId9"/>
      <w:pgSz w:w="12240" w:h="15840"/>
      <w:pgMar w:top="1304" w:right="1361" w:bottom="119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4F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