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F529">
      <w:pPr>
        <w:jc w:val="center"/>
      </w:pPr>
      <w:bookmarkStart w:id="0" w:name="_GoBack"/>
      <w:bookmarkEnd w:id="0"/>
      <w:r>
        <w:rPr>
          <w:rFonts w:ascii="Arial" w:hAnsi="Arial" w:eastAsia="微软雅黑"/>
          <w:b/>
          <w:color w:val="1F4E79"/>
          <w:sz w:val="40"/>
        </w:rPr>
        <w:t>无背景非线性共享场理论（BNCFT）</w:t>
      </w:r>
      <w:r>
        <w:rPr>
          <w:rFonts w:ascii="Arial" w:hAnsi="Arial" w:eastAsia="微软雅黑"/>
          <w:b/>
          <w:color w:val="1F4E79"/>
          <w:sz w:val="40"/>
        </w:rPr>
        <w:br w:type="textWrapping"/>
      </w:r>
      <w:r>
        <w:rPr>
          <w:rFonts w:ascii="Arial" w:hAnsi="Arial" w:eastAsia="微软雅黑"/>
          <w:b/>
          <w:color w:val="1F4E79"/>
          <w:sz w:val="40"/>
        </w:rPr>
        <w:t>第四编卷首总说明 / A0 正式稿</w:t>
      </w:r>
    </w:p>
    <w:p w14:paraId="5982B957">
      <w:pPr>
        <w:pStyle w:val="164"/>
        <w:jc w:val="center"/>
      </w:pPr>
      <w:r>
        <w:t>Background-Free Nonlinear Common Field Theory (BNCFT)</w:t>
      </w:r>
      <w:r>
        <w:br w:type="textWrapping"/>
      </w:r>
      <w:r>
        <w:t>Volume IV Front Matter / A0 Formal Draft</w:t>
      </w:r>
    </w:p>
    <w:p w14:paraId="5F61AEC3">
      <w:pPr>
        <w:jc w:val="center"/>
      </w:pPr>
      <w:r>
        <w:rPr>
          <w:rFonts w:ascii="Arial" w:hAnsi="Arial" w:eastAsia="微软雅黑"/>
          <w:sz w:val="21"/>
        </w:rPr>
        <w:t>版本 Version: V1    日期 Date: 2026-04-18</w:t>
      </w:r>
    </w:p>
    <w:tbl>
      <w:tblPr>
        <w:tblStyle w:val="32"/>
        <w:tblW w:w="0" w:type="auto"/>
        <w:jc w:val="center"/>
        <w:tblLayout w:type="autofit"/>
        <w:tblCellMar>
          <w:top w:w="0" w:type="dxa"/>
          <w:left w:w="108" w:type="dxa"/>
          <w:bottom w:w="0" w:type="dxa"/>
          <w:right w:w="108" w:type="dxa"/>
        </w:tblCellMar>
      </w:tblPr>
      <w:tblGrid>
        <w:gridCol w:w="9792"/>
      </w:tblGrid>
      <w:tr w14:paraId="605287F3">
        <w:tblPrEx>
          <w:tblCellMar>
            <w:top w:w="0" w:type="dxa"/>
            <w:left w:w="108" w:type="dxa"/>
            <w:bottom w:w="0" w:type="dxa"/>
            <w:right w:w="108" w:type="dxa"/>
          </w:tblCellMar>
        </w:tblPrEx>
        <w:trPr>
          <w:jc w:val="center"/>
        </w:trPr>
        <w:tc>
          <w:tcPr>
            <w:tcW w:w="9792" w:type="dxa"/>
            <w:shd w:val="clear" w:color="auto" w:fill="EEF3F8"/>
            <w:vAlign w:val="center"/>
          </w:tcPr>
          <w:p w14:paraId="1226A482">
            <w:pPr>
              <w:spacing w:before="40" w:after="40"/>
            </w:pPr>
            <w:r>
              <w:rPr>
                <w:rFonts w:ascii="Arial" w:hAnsi="Arial" w:eastAsia="微软雅黑"/>
                <w:b w:val="0"/>
                <w:sz w:val="20"/>
              </w:rPr>
              <w:t>文件目的 / Purpose</w:t>
            </w:r>
            <w:r>
              <w:rPr>
                <w:rFonts w:ascii="Arial" w:hAnsi="Arial" w:eastAsia="微软雅黑"/>
                <w:b w:val="0"/>
                <w:sz w:val="20"/>
              </w:rPr>
              <w:br w:type="textWrapping"/>
            </w:r>
            <w:r>
              <w:rPr>
                <w:rFonts w:ascii="Arial" w:hAnsi="Arial" w:eastAsia="微软雅黑"/>
                <w:b w:val="0"/>
                <w:sz w:val="20"/>
              </w:rPr>
              <w:t>固定第四编正式开写前的总说明、对象边界、变量入口、传播双轴口径、总量/通量/源项候选定义、前置补丁关卡与回退机制，使第四编从“可讨论提纲”升级为“可施工文稿”。</w:t>
            </w:r>
          </w:p>
        </w:tc>
      </w:tr>
    </w:tbl>
    <w:p w14:paraId="5405EEAE">
      <w:pPr>
        <w:pStyle w:val="3"/>
      </w:pPr>
      <w:r>
        <w:t>一、文稿身份与用途</w:t>
      </w:r>
    </w:p>
    <w:p w14:paraId="18E49E47">
      <w:pPr>
        <w:spacing w:after="120" w:line="324" w:lineRule="auto"/>
      </w:pPr>
      <w:r>
        <w:t>本稿是第四编的卷首总说明与 A0 操作化附件，不承担终局定律证明功能。它的任务是把第四编正式起草前必须先固定的对象、边界、接口、失败条件与补丁关卡一次锁定，避免后续正文反复返工。</w:t>
      </w:r>
    </w:p>
    <w:p w14:paraId="7CB73B9E">
      <w:pPr>
        <w:spacing w:after="120" w:line="324" w:lineRule="auto"/>
      </w:pPr>
      <w:r>
        <w:t>本稿与第四编第一章的关系是：A0 负责固定施工纪律；第一章负责固定质量三分接口。A0 不替代第一章，但为第一章及后续章节提供统一的施工坐标系。</w:t>
      </w:r>
    </w:p>
    <w:p w14:paraId="52FB0C9E">
      <w:pPr>
        <w:pStyle w:val="3"/>
      </w:pPr>
      <w:r>
        <w:t>二、第四编在 BNCFT 全套结构中的位置</w:t>
      </w:r>
    </w:p>
    <w:p w14:paraId="7967742D">
      <w:pPr>
        <w:spacing w:after="120" w:line="324" w:lineRule="auto"/>
      </w:pPr>
      <w:r>
        <w:t>第四编处于“从离散结构走向有效物理量”的过渡层。前三编分别提供母动力学、公设红线、因果序、切片结构与离散几何接口；第四编则首次把这些对象翻译为可识别的有效物理接口。</w:t>
      </w:r>
    </w:p>
    <w:p w14:paraId="061498DB">
      <w:pPr>
        <w:spacing w:after="120" w:line="324" w:lineRule="auto"/>
      </w:pPr>
      <w:r>
        <w:t>第四编的正式一句话定位应写为：第四编不是终局方程层，而是从离散几何接口走向有效物理接口的第一座桥。</w:t>
      </w:r>
    </w:p>
    <w:p w14:paraId="2C5BCCC8">
      <w:pPr>
        <w:pStyle w:val="3"/>
      </w:pPr>
      <w:r>
        <w:t>三、第四编的近期主轴</w:t>
      </w:r>
    </w:p>
    <w:p w14:paraId="58DBBEDB">
      <w:pPr>
        <w:spacing w:after="120" w:line="324" w:lineRule="auto"/>
      </w:pPr>
      <w:r>
        <w:t>在当前修订口径下，第四编的卷内第一主轴已经固定为“质量三分定义及其等效性问题”。因此，第四编的章节组织不再仅围绕抽象的几何—传播—响应链条展开，而是改为：先用 A0 锁定纪律，再以质量三分接口章开启物理翻译，再进入稳定激发、传播、守恒、耦合与弱场比较。</w:t>
      </w:r>
    </w:p>
    <w:p w14:paraId="0C625620">
      <w:pPr>
        <w:pStyle w:val="3"/>
      </w:pPr>
      <w:r>
        <w:t>四、A0 必须固定的七个施工对象</w:t>
      </w:r>
    </w:p>
    <w:p w14:paraId="384EE2CC">
      <w:pPr>
        <w:spacing w:after="120"/>
      </w:pPr>
      <w:r>
        <w:t>正式开写前，至少应先固定以下七类对象：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7"/>
        <w:gridCol w:w="2394"/>
        <w:gridCol w:w="2818"/>
        <w:gridCol w:w="2399"/>
      </w:tblGrid>
      <w:tr w14:paraId="5A62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3D072922">
            <w:pPr>
              <w:spacing w:after="0" w:line="240" w:lineRule="auto"/>
            </w:pPr>
            <w:r>
              <w:rPr>
                <w:rFonts w:ascii="Arial" w:hAnsi="Arial" w:eastAsia="微软雅黑"/>
                <w:b/>
                <w:sz w:val="20"/>
              </w:rPr>
              <w:t>对象</w:t>
            </w:r>
          </w:p>
        </w:tc>
        <w:tc>
          <w:tcPr>
            <w:tcW w:w="2448" w:type="dxa"/>
            <w:shd w:val="clear" w:color="auto" w:fill="D9EAF7"/>
            <w:vAlign w:val="center"/>
          </w:tcPr>
          <w:p w14:paraId="51D43EA4">
            <w:pPr>
              <w:spacing w:after="0" w:line="240" w:lineRule="auto"/>
            </w:pPr>
            <w:r>
              <w:rPr>
                <w:rFonts w:ascii="Arial" w:hAnsi="Arial" w:eastAsia="微软雅黑"/>
                <w:b/>
                <w:sz w:val="20"/>
              </w:rPr>
              <w:t>中文说明</w:t>
            </w:r>
          </w:p>
        </w:tc>
        <w:tc>
          <w:tcPr>
            <w:tcW w:w="2448" w:type="dxa"/>
            <w:shd w:val="clear" w:color="auto" w:fill="D9EAF7"/>
            <w:vAlign w:val="center"/>
          </w:tcPr>
          <w:p w14:paraId="75002295">
            <w:pPr>
              <w:spacing w:after="0" w:line="240" w:lineRule="auto"/>
            </w:pPr>
            <w:r>
              <w:rPr>
                <w:rFonts w:ascii="Arial" w:hAnsi="Arial" w:eastAsia="微软雅黑"/>
                <w:b/>
                <w:sz w:val="20"/>
              </w:rPr>
              <w:t>English label</w:t>
            </w:r>
          </w:p>
        </w:tc>
        <w:tc>
          <w:tcPr>
            <w:tcW w:w="2448" w:type="dxa"/>
            <w:shd w:val="clear" w:color="auto" w:fill="D9EAF7"/>
            <w:vAlign w:val="center"/>
          </w:tcPr>
          <w:p w14:paraId="68BDBBC8">
            <w:pPr>
              <w:spacing w:after="0" w:line="240" w:lineRule="auto"/>
            </w:pPr>
            <w:r>
              <w:rPr>
                <w:rFonts w:ascii="Arial" w:hAnsi="Arial" w:eastAsia="微软雅黑"/>
                <w:b/>
                <w:sz w:val="20"/>
              </w:rPr>
              <w:t>用途</w:t>
            </w:r>
          </w:p>
        </w:tc>
      </w:tr>
      <w:tr w14:paraId="78B8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0ED99E4">
            <w:pPr>
              <w:spacing w:after="0" w:line="240" w:lineRule="auto"/>
            </w:pPr>
            <w:r>
              <w:rPr>
                <w:rFonts w:ascii="Arial" w:hAnsi="Arial" w:eastAsia="微软雅黑"/>
                <w:b w:val="0"/>
                <w:sz w:val="20"/>
              </w:rPr>
              <w:t>A0-1</w:t>
            </w:r>
          </w:p>
        </w:tc>
        <w:tc>
          <w:tcPr>
            <w:tcW w:w="2448" w:type="dxa"/>
            <w:vAlign w:val="center"/>
          </w:tcPr>
          <w:p w14:paraId="02AD008E">
            <w:pPr>
              <w:spacing w:after="0" w:line="240" w:lineRule="auto"/>
            </w:pPr>
            <w:r>
              <w:rPr>
                <w:rFonts w:ascii="Arial" w:hAnsi="Arial" w:eastAsia="微软雅黑"/>
                <w:b w:val="0"/>
                <w:sz w:val="20"/>
              </w:rPr>
              <w:t>变量候选表</w:t>
            </w:r>
          </w:p>
        </w:tc>
        <w:tc>
          <w:tcPr>
            <w:tcW w:w="2448" w:type="dxa"/>
            <w:vAlign w:val="center"/>
          </w:tcPr>
          <w:p w14:paraId="61B932FA">
            <w:pPr>
              <w:spacing w:after="0" w:line="240" w:lineRule="auto"/>
            </w:pPr>
            <w:r>
              <w:rPr>
                <w:rFonts w:ascii="Arial" w:hAnsi="Arial" w:eastAsia="微软雅黑"/>
                <w:b w:val="0"/>
                <w:sz w:val="20"/>
              </w:rPr>
              <w:t>Candidate variable table</w:t>
            </w:r>
          </w:p>
        </w:tc>
        <w:tc>
          <w:tcPr>
            <w:tcW w:w="2448" w:type="dxa"/>
            <w:vAlign w:val="center"/>
          </w:tcPr>
          <w:p w14:paraId="5C99EE53">
            <w:pPr>
              <w:spacing w:after="0" w:line="240" w:lineRule="auto"/>
            </w:pPr>
            <w:r>
              <w:rPr>
                <w:rFonts w:ascii="Arial" w:hAnsi="Arial" w:eastAsia="微软雅黑"/>
                <w:b w:val="0"/>
                <w:sz w:val="20"/>
              </w:rPr>
              <w:t>锁定每个变量的来源、类别与升级资格</w:t>
            </w:r>
          </w:p>
        </w:tc>
      </w:tr>
      <w:tr w14:paraId="423C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AF5390B">
            <w:pPr>
              <w:spacing w:after="0" w:line="240" w:lineRule="auto"/>
            </w:pPr>
            <w:r>
              <w:rPr>
                <w:rFonts w:ascii="Arial" w:hAnsi="Arial" w:eastAsia="微软雅黑"/>
                <w:b w:val="0"/>
                <w:sz w:val="20"/>
              </w:rPr>
              <w:t>A0-2</w:t>
            </w:r>
          </w:p>
        </w:tc>
        <w:tc>
          <w:tcPr>
            <w:tcW w:w="2448" w:type="dxa"/>
            <w:vAlign w:val="center"/>
          </w:tcPr>
          <w:p w14:paraId="6CB4CB94">
            <w:pPr>
              <w:spacing w:after="0" w:line="240" w:lineRule="auto"/>
            </w:pPr>
            <w:r>
              <w:rPr>
                <w:rFonts w:ascii="Arial" w:hAnsi="Arial" w:eastAsia="微软雅黑"/>
                <w:b w:val="0"/>
                <w:sz w:val="20"/>
              </w:rPr>
              <w:t>传播双轴口径</w:t>
            </w:r>
          </w:p>
        </w:tc>
        <w:tc>
          <w:tcPr>
            <w:tcW w:w="2448" w:type="dxa"/>
            <w:vAlign w:val="center"/>
          </w:tcPr>
          <w:p w14:paraId="1E15145B">
            <w:pPr>
              <w:spacing w:after="0" w:line="240" w:lineRule="auto"/>
            </w:pPr>
            <w:r>
              <w:rPr>
                <w:rFonts w:ascii="Arial" w:hAnsi="Arial" w:eastAsia="微软雅黑"/>
                <w:b w:val="0"/>
                <w:sz w:val="20"/>
              </w:rPr>
              <w:t>Two-axis propagation scheme</w:t>
            </w:r>
          </w:p>
        </w:tc>
        <w:tc>
          <w:tcPr>
            <w:tcW w:w="2448" w:type="dxa"/>
            <w:vAlign w:val="center"/>
          </w:tcPr>
          <w:p w14:paraId="1B216D75">
            <w:pPr>
              <w:spacing w:after="0" w:line="240" w:lineRule="auto"/>
            </w:pPr>
            <w:r>
              <w:rPr>
                <w:rFonts w:ascii="Arial" w:hAnsi="Arial" w:eastAsia="微软雅黑"/>
                <w:b w:val="0"/>
                <w:sz w:val="20"/>
              </w:rPr>
              <w:t>区分纵向传播与横向展开</w:t>
            </w:r>
          </w:p>
        </w:tc>
      </w:tr>
      <w:tr w14:paraId="23BE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7E0824B">
            <w:pPr>
              <w:spacing w:after="0" w:line="240" w:lineRule="auto"/>
            </w:pPr>
            <w:r>
              <w:rPr>
                <w:rFonts w:ascii="Arial" w:hAnsi="Arial" w:eastAsia="微软雅黑"/>
                <w:b w:val="0"/>
                <w:sz w:val="20"/>
              </w:rPr>
              <w:t>A0-3</w:t>
            </w:r>
          </w:p>
        </w:tc>
        <w:tc>
          <w:tcPr>
            <w:tcW w:w="2448" w:type="dxa"/>
            <w:vAlign w:val="center"/>
          </w:tcPr>
          <w:p w14:paraId="5919FC41">
            <w:pPr>
              <w:spacing w:after="0" w:line="240" w:lineRule="auto"/>
            </w:pPr>
            <w:r>
              <w:rPr>
                <w:rFonts w:ascii="Arial" w:hAnsi="Arial" w:eastAsia="微软雅黑"/>
                <w:b w:val="0"/>
                <w:sz w:val="20"/>
              </w:rPr>
              <w:t>总量候选定义</w:t>
            </w:r>
          </w:p>
        </w:tc>
        <w:tc>
          <w:tcPr>
            <w:tcW w:w="2448" w:type="dxa"/>
            <w:vAlign w:val="center"/>
          </w:tcPr>
          <w:p w14:paraId="003CAE57">
            <w:pPr>
              <w:spacing w:after="0" w:line="240" w:lineRule="auto"/>
            </w:pPr>
            <w:r>
              <w:rPr>
                <w:rFonts w:ascii="Arial" w:hAnsi="Arial" w:eastAsia="微软雅黑"/>
                <w:b w:val="0"/>
                <w:sz w:val="20"/>
              </w:rPr>
              <w:t>Candidate total definitions</w:t>
            </w:r>
          </w:p>
        </w:tc>
        <w:tc>
          <w:tcPr>
            <w:tcW w:w="2448" w:type="dxa"/>
            <w:vAlign w:val="center"/>
          </w:tcPr>
          <w:p w14:paraId="31A02E76">
            <w:pPr>
              <w:spacing w:after="0" w:line="240" w:lineRule="auto"/>
            </w:pPr>
            <w:r>
              <w:rPr>
                <w:rFonts w:ascii="Arial" w:hAnsi="Arial" w:eastAsia="微软雅黑"/>
                <w:b w:val="0"/>
                <w:sz w:val="20"/>
              </w:rPr>
              <w:t>避免守恒章空转</w:t>
            </w:r>
          </w:p>
        </w:tc>
      </w:tr>
      <w:tr w14:paraId="1D29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C2E693C">
            <w:pPr>
              <w:spacing w:after="0" w:line="240" w:lineRule="auto"/>
            </w:pPr>
            <w:r>
              <w:rPr>
                <w:rFonts w:ascii="Arial" w:hAnsi="Arial" w:eastAsia="微软雅黑"/>
                <w:b w:val="0"/>
                <w:sz w:val="20"/>
              </w:rPr>
              <w:t>A0-4</w:t>
            </w:r>
          </w:p>
        </w:tc>
        <w:tc>
          <w:tcPr>
            <w:tcW w:w="2448" w:type="dxa"/>
            <w:vAlign w:val="center"/>
          </w:tcPr>
          <w:p w14:paraId="74FD9472">
            <w:pPr>
              <w:spacing w:after="0" w:line="240" w:lineRule="auto"/>
            </w:pPr>
            <w:r>
              <w:rPr>
                <w:rFonts w:ascii="Arial" w:hAnsi="Arial" w:eastAsia="微软雅黑"/>
                <w:b w:val="0"/>
                <w:sz w:val="20"/>
              </w:rPr>
              <w:t>通量权重规则</w:t>
            </w:r>
          </w:p>
        </w:tc>
        <w:tc>
          <w:tcPr>
            <w:tcW w:w="2448" w:type="dxa"/>
            <w:vAlign w:val="center"/>
          </w:tcPr>
          <w:p w14:paraId="3FBCB290">
            <w:pPr>
              <w:spacing w:after="0" w:line="240" w:lineRule="auto"/>
            </w:pPr>
            <w:r>
              <w:rPr>
                <w:rFonts w:ascii="Arial" w:hAnsi="Arial" w:eastAsia="微软雅黑"/>
                <w:b w:val="0"/>
                <w:sz w:val="20"/>
              </w:rPr>
              <w:t>Flux weighting rule</w:t>
            </w:r>
          </w:p>
        </w:tc>
        <w:tc>
          <w:tcPr>
            <w:tcW w:w="2448" w:type="dxa"/>
            <w:vAlign w:val="center"/>
          </w:tcPr>
          <w:p w14:paraId="6CE3D3FA">
            <w:pPr>
              <w:spacing w:after="0" w:line="240" w:lineRule="auto"/>
            </w:pPr>
            <w:r>
              <w:rPr>
                <w:rFonts w:ascii="Arial" w:hAnsi="Arial" w:eastAsia="微软雅黑"/>
                <w:b w:val="0"/>
                <w:sz w:val="20"/>
              </w:rPr>
              <w:t>防止纯拓扑边计数造成畸变</w:t>
            </w:r>
          </w:p>
        </w:tc>
      </w:tr>
      <w:tr w14:paraId="5637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C0929FF">
            <w:pPr>
              <w:spacing w:after="0" w:line="240" w:lineRule="auto"/>
            </w:pPr>
            <w:r>
              <w:rPr>
                <w:rFonts w:ascii="Arial" w:hAnsi="Arial" w:eastAsia="微软雅黑"/>
                <w:b w:val="0"/>
                <w:sz w:val="20"/>
              </w:rPr>
              <w:t>A0-5</w:t>
            </w:r>
          </w:p>
        </w:tc>
        <w:tc>
          <w:tcPr>
            <w:tcW w:w="2448" w:type="dxa"/>
            <w:vAlign w:val="center"/>
          </w:tcPr>
          <w:p w14:paraId="075D2861">
            <w:pPr>
              <w:spacing w:after="0" w:line="240" w:lineRule="auto"/>
            </w:pPr>
            <w:r>
              <w:rPr>
                <w:rFonts w:ascii="Arial" w:hAnsi="Arial" w:eastAsia="微软雅黑"/>
                <w:b w:val="0"/>
                <w:sz w:val="20"/>
              </w:rPr>
              <w:t>残差项/稳定源项候选</w:t>
            </w:r>
          </w:p>
        </w:tc>
        <w:tc>
          <w:tcPr>
            <w:tcW w:w="2448" w:type="dxa"/>
            <w:vAlign w:val="center"/>
          </w:tcPr>
          <w:p w14:paraId="6A8B585F">
            <w:pPr>
              <w:spacing w:after="0" w:line="240" w:lineRule="auto"/>
            </w:pPr>
            <w:r>
              <w:rPr>
                <w:rFonts w:ascii="Arial" w:hAnsi="Arial" w:eastAsia="微软雅黑"/>
                <w:b w:val="0"/>
                <w:sz w:val="20"/>
              </w:rPr>
              <w:t>Residual / stable source-term candidate</w:t>
            </w:r>
          </w:p>
        </w:tc>
        <w:tc>
          <w:tcPr>
            <w:tcW w:w="2448" w:type="dxa"/>
            <w:vAlign w:val="center"/>
          </w:tcPr>
          <w:p w14:paraId="7DA8A1CB">
            <w:pPr>
              <w:spacing w:after="0" w:line="240" w:lineRule="auto"/>
            </w:pPr>
            <w:r>
              <w:rPr>
                <w:rFonts w:ascii="Arial" w:hAnsi="Arial" w:eastAsia="微软雅黑"/>
                <w:b w:val="0"/>
                <w:sz w:val="20"/>
              </w:rPr>
              <w:t>避免把误差直接命名为源项</w:t>
            </w:r>
          </w:p>
        </w:tc>
      </w:tr>
      <w:tr w14:paraId="1A98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DEBCB42">
            <w:pPr>
              <w:spacing w:after="0" w:line="240" w:lineRule="auto"/>
            </w:pPr>
            <w:r>
              <w:rPr>
                <w:rFonts w:ascii="Arial" w:hAnsi="Arial" w:eastAsia="微软雅黑"/>
                <w:b w:val="0"/>
                <w:sz w:val="20"/>
              </w:rPr>
              <w:t>A0-6</w:t>
            </w:r>
          </w:p>
        </w:tc>
        <w:tc>
          <w:tcPr>
            <w:tcW w:w="2448" w:type="dxa"/>
            <w:vAlign w:val="center"/>
          </w:tcPr>
          <w:p w14:paraId="0BA04322">
            <w:pPr>
              <w:spacing w:after="0" w:line="240" w:lineRule="auto"/>
            </w:pPr>
            <w:r>
              <w:rPr>
                <w:rFonts w:ascii="Arial" w:hAnsi="Arial" w:eastAsia="微软雅黑"/>
                <w:b w:val="0"/>
                <w:sz w:val="20"/>
              </w:rPr>
              <w:t>前置补丁关卡</w:t>
            </w:r>
          </w:p>
        </w:tc>
        <w:tc>
          <w:tcPr>
            <w:tcW w:w="2448" w:type="dxa"/>
            <w:vAlign w:val="center"/>
          </w:tcPr>
          <w:p w14:paraId="3A2860AC">
            <w:pPr>
              <w:spacing w:after="0" w:line="240" w:lineRule="auto"/>
            </w:pPr>
            <w:r>
              <w:rPr>
                <w:rFonts w:ascii="Arial" w:hAnsi="Arial" w:eastAsia="微软雅黑"/>
                <w:b w:val="0"/>
                <w:sz w:val="20"/>
              </w:rPr>
              <w:t>Precondition patch gate</w:t>
            </w:r>
          </w:p>
        </w:tc>
        <w:tc>
          <w:tcPr>
            <w:tcW w:w="2448" w:type="dxa"/>
            <w:vAlign w:val="center"/>
          </w:tcPr>
          <w:p w14:paraId="4DA84535">
            <w:pPr>
              <w:spacing w:after="0" w:line="240" w:lineRule="auto"/>
            </w:pPr>
            <w:r>
              <w:rPr>
                <w:rFonts w:ascii="Arial" w:hAnsi="Arial" w:eastAsia="微软雅黑"/>
                <w:b w:val="0"/>
                <w:sz w:val="20"/>
              </w:rPr>
              <w:t>处理前三编遗留不稳接口</w:t>
            </w:r>
          </w:p>
        </w:tc>
      </w:tr>
      <w:tr w14:paraId="33DB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E5E39EA">
            <w:pPr>
              <w:spacing w:after="0" w:line="240" w:lineRule="auto"/>
            </w:pPr>
            <w:r>
              <w:rPr>
                <w:rFonts w:ascii="Arial" w:hAnsi="Arial" w:eastAsia="微软雅黑"/>
                <w:b w:val="0"/>
                <w:sz w:val="20"/>
              </w:rPr>
              <w:t>A0-7</w:t>
            </w:r>
          </w:p>
        </w:tc>
        <w:tc>
          <w:tcPr>
            <w:tcW w:w="2448" w:type="dxa"/>
            <w:vAlign w:val="center"/>
          </w:tcPr>
          <w:p w14:paraId="03FC605B">
            <w:pPr>
              <w:spacing w:after="0" w:line="240" w:lineRule="auto"/>
            </w:pPr>
            <w:r>
              <w:rPr>
                <w:rFonts w:ascii="Arial" w:hAnsi="Arial" w:eastAsia="微软雅黑"/>
                <w:b w:val="0"/>
                <w:sz w:val="20"/>
              </w:rPr>
              <w:t>失败症状—诊断—回退动作表</w:t>
            </w:r>
          </w:p>
        </w:tc>
        <w:tc>
          <w:tcPr>
            <w:tcW w:w="2448" w:type="dxa"/>
            <w:vAlign w:val="center"/>
          </w:tcPr>
          <w:p w14:paraId="19B5F4B5">
            <w:pPr>
              <w:spacing w:after="0" w:line="240" w:lineRule="auto"/>
            </w:pPr>
            <w:r>
              <w:rPr>
                <w:rFonts w:ascii="Arial" w:hAnsi="Arial" w:eastAsia="微软雅黑"/>
                <w:b w:val="0"/>
                <w:sz w:val="20"/>
              </w:rPr>
              <w:t>Symptom–diagnosis–rollback table</w:t>
            </w:r>
          </w:p>
        </w:tc>
        <w:tc>
          <w:tcPr>
            <w:tcW w:w="2448" w:type="dxa"/>
            <w:vAlign w:val="center"/>
          </w:tcPr>
          <w:p w14:paraId="51F0B16F">
            <w:pPr>
              <w:spacing w:after="0" w:line="240" w:lineRule="auto"/>
            </w:pPr>
            <w:r>
              <w:rPr>
                <w:rFonts w:ascii="Arial" w:hAnsi="Arial" w:eastAsia="微软雅黑"/>
                <w:b w:val="0"/>
                <w:sz w:val="20"/>
              </w:rPr>
              <w:t>形成真正可执行的裁决机制</w:t>
            </w:r>
          </w:p>
        </w:tc>
      </w:tr>
    </w:tbl>
    <w:p w14:paraId="4A838511">
      <w:pPr>
        <w:pStyle w:val="3"/>
      </w:pPr>
      <w:r>
        <w:t>五、初始候选变量表（中文）</w:t>
      </w:r>
    </w:p>
    <w:p w14:paraId="40BACEF5">
      <w:pPr>
        <w:spacing w:after="80"/>
        <w:ind w:left="360" w:hanging="259"/>
      </w:pPr>
      <w:r>
        <w:t>• 切片事件数、切片密度型量、路径代价距离代理、体积增长函数、曲率代理、局域结构缺陷密度、切片间变化率、粗粒化熵样量。</w:t>
      </w:r>
    </w:p>
    <w:p w14:paraId="755FAEE3">
      <w:pPr>
        <w:spacing w:after="80"/>
        <w:ind w:left="360" w:hanging="259"/>
      </w:pPr>
      <w:r>
        <w:t>• 每个变量都必须标注来源于第一编、第二编、第三编还是第四编新引入对象。</w:t>
      </w:r>
    </w:p>
    <w:p w14:paraId="6A5269CC">
      <w:pPr>
        <w:spacing w:after="80"/>
        <w:ind w:left="360" w:hanging="259"/>
      </w:pPr>
      <w:r>
        <w:t>• 每个变量都必须说明：是否依赖切片、是否可数值估计、是否具备升级资格。</w:t>
      </w:r>
    </w:p>
    <w:p w14:paraId="1EE90577">
      <w:pPr>
        <w:pStyle w:val="3"/>
      </w:pPr>
      <w:r>
        <w:t>六、传播双轴口径</w:t>
      </w:r>
    </w:p>
    <w:p w14:paraId="0090BA0E">
      <w:pPr>
        <w:spacing w:after="80"/>
        <w:ind w:left="360" w:hanging="259"/>
      </w:pPr>
      <w:r>
        <w:t>• 纵向传播：依第二编因果层序回答“影响何时到达”。</w:t>
      </w:r>
    </w:p>
    <w:p w14:paraId="01C3B0CC">
      <w:pPr>
        <w:spacing w:after="80"/>
        <w:ind w:left="360" w:hanging="259"/>
      </w:pPr>
      <w:r>
        <w:t>• 横向展开：依第三编切片内几何回答“影响到达后如何在同层或近层展开”。</w:t>
      </w:r>
    </w:p>
    <w:p w14:paraId="3F659471">
      <w:pPr>
        <w:spacing w:after="80"/>
        <w:ind w:left="360" w:hanging="259"/>
      </w:pPr>
      <w:r>
        <w:t>• 第四编中的传播律不得把这两者混成一个单速度概念。</w:t>
      </w:r>
    </w:p>
    <w:p w14:paraId="0F2A124A">
      <w:pPr>
        <w:pStyle w:val="3"/>
      </w:pPr>
      <w:r>
        <w:t>七、总量、通量与源项的最低纪律</w:t>
      </w:r>
    </w:p>
    <w:p w14:paraId="454C9B0E">
      <w:pPr>
        <w:spacing w:after="80"/>
        <w:ind w:left="360" w:hanging="259"/>
      </w:pPr>
      <w:r>
        <w:t>• 总量至少并列保留绝对计数型、归一化密度型、因果边加权型三种候选定义。</w:t>
      </w:r>
    </w:p>
    <w:p w14:paraId="25FAAA89">
      <w:pPr>
        <w:spacing w:after="80"/>
        <w:ind w:left="360" w:hanging="259"/>
      </w:pPr>
      <w:r>
        <w:t>• 正式通量原则上采用加权通量，不采用纯拓扑边计数作为最终定义。</w:t>
      </w:r>
    </w:p>
    <w:p w14:paraId="7A374058">
      <w:pPr>
        <w:spacing w:after="80"/>
        <w:ind w:left="360" w:hanging="259"/>
      </w:pPr>
      <w:r>
        <w:t>• 源项必须写成“残差项 → 稳定源项候选”的两级结构。</w:t>
      </w:r>
    </w:p>
    <w:p w14:paraId="54BB61F2">
      <w:pPr>
        <w:pStyle w:val="3"/>
      </w:pPr>
      <w:r>
        <w:t>八、前置补丁关卡</w:t>
      </w:r>
    </w:p>
    <w:p w14:paraId="7854FE0C">
      <w:r>
        <w:t>第四编正式开写前，前三编至少要先核查以下高优先级关卡：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5CD5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3188D5DD">
            <w:pPr>
              <w:spacing w:after="0" w:line="240" w:lineRule="auto"/>
            </w:pPr>
            <w:r>
              <w:rPr>
                <w:rFonts w:ascii="Arial" w:hAnsi="Arial" w:eastAsia="微软雅黑"/>
                <w:b/>
                <w:sz w:val="20"/>
              </w:rPr>
              <w:t>遗留接口</w:t>
            </w:r>
          </w:p>
        </w:tc>
        <w:tc>
          <w:tcPr>
            <w:tcW w:w="3264" w:type="dxa"/>
            <w:shd w:val="clear" w:color="auto" w:fill="D9EAF7"/>
            <w:vAlign w:val="center"/>
          </w:tcPr>
          <w:p w14:paraId="0847D577">
            <w:pPr>
              <w:spacing w:after="0" w:line="240" w:lineRule="auto"/>
            </w:pPr>
            <w:r>
              <w:rPr>
                <w:rFonts w:ascii="Arial" w:hAnsi="Arial" w:eastAsia="微软雅黑"/>
                <w:b/>
                <w:sz w:val="20"/>
              </w:rPr>
              <w:t>为何影响第四编</w:t>
            </w:r>
          </w:p>
        </w:tc>
        <w:tc>
          <w:tcPr>
            <w:tcW w:w="3264" w:type="dxa"/>
            <w:shd w:val="clear" w:color="auto" w:fill="D9EAF7"/>
            <w:vAlign w:val="center"/>
          </w:tcPr>
          <w:p w14:paraId="2C82C2E5">
            <w:pPr>
              <w:spacing w:after="0" w:line="240" w:lineRule="auto"/>
            </w:pPr>
            <w:r>
              <w:rPr>
                <w:rFonts w:ascii="Arial" w:hAnsi="Arial" w:eastAsia="微软雅黑"/>
                <w:b/>
                <w:sz w:val="20"/>
              </w:rPr>
              <w:t>A0 处理口径</w:t>
            </w:r>
          </w:p>
        </w:tc>
      </w:tr>
      <w:tr w14:paraId="0D26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3E3B57C">
            <w:pPr>
              <w:spacing w:after="0" w:line="240" w:lineRule="auto"/>
            </w:pPr>
            <w:r>
              <w:rPr>
                <w:rFonts w:ascii="Arial" w:hAnsi="Arial" w:eastAsia="微软雅黑"/>
                <w:b w:val="0"/>
                <w:sz w:val="20"/>
              </w:rPr>
              <w:t>因果序反自反性是否闭合</w:t>
            </w:r>
          </w:p>
        </w:tc>
        <w:tc>
          <w:tcPr>
            <w:tcW w:w="3264" w:type="dxa"/>
            <w:vAlign w:val="center"/>
          </w:tcPr>
          <w:p w14:paraId="3EBBF6EA">
            <w:pPr>
              <w:spacing w:after="0" w:line="240" w:lineRule="auto"/>
            </w:pPr>
            <w:r>
              <w:rPr>
                <w:rFonts w:ascii="Arial" w:hAnsi="Arial" w:eastAsia="微软雅黑"/>
                <w:b w:val="0"/>
                <w:sz w:val="20"/>
              </w:rPr>
              <w:t>影响传播层序与到达判据</w:t>
            </w:r>
          </w:p>
        </w:tc>
        <w:tc>
          <w:tcPr>
            <w:tcW w:w="3264" w:type="dxa"/>
            <w:vAlign w:val="center"/>
          </w:tcPr>
          <w:p w14:paraId="3FA59535">
            <w:pPr>
              <w:spacing w:after="0" w:line="240" w:lineRule="auto"/>
            </w:pPr>
            <w:r>
              <w:rPr>
                <w:rFonts w:ascii="Arial" w:hAnsi="Arial" w:eastAsia="微软雅黑"/>
                <w:b w:val="0"/>
                <w:sz w:val="20"/>
              </w:rPr>
              <w:t>未闭合时只能条件性写法</w:t>
            </w:r>
          </w:p>
        </w:tc>
      </w:tr>
      <w:tr w14:paraId="6028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2D9E86F">
            <w:pPr>
              <w:spacing w:after="0" w:line="240" w:lineRule="auto"/>
            </w:pPr>
            <w:r>
              <w:rPr>
                <w:rFonts w:ascii="Arial" w:hAnsi="Arial" w:eastAsia="微软雅黑"/>
                <w:b w:val="0"/>
                <w:sz w:val="20"/>
              </w:rPr>
              <w:t>ApplySet 是否已定义</w:t>
            </w:r>
          </w:p>
        </w:tc>
        <w:tc>
          <w:tcPr>
            <w:tcW w:w="3264" w:type="dxa"/>
            <w:vAlign w:val="center"/>
          </w:tcPr>
          <w:p w14:paraId="7C77D7E1">
            <w:pPr>
              <w:spacing w:after="0" w:line="240" w:lineRule="auto"/>
            </w:pPr>
            <w:r>
              <w:rPr>
                <w:rFonts w:ascii="Arial" w:hAnsi="Arial" w:eastAsia="微软雅黑"/>
                <w:b w:val="0"/>
                <w:sz w:val="20"/>
              </w:rPr>
              <w:t>影响对象筛选与更新合法性</w:t>
            </w:r>
          </w:p>
        </w:tc>
        <w:tc>
          <w:tcPr>
            <w:tcW w:w="3264" w:type="dxa"/>
            <w:vAlign w:val="center"/>
          </w:tcPr>
          <w:p w14:paraId="4D97B76B">
            <w:pPr>
              <w:spacing w:after="0" w:line="240" w:lineRule="auto"/>
            </w:pPr>
            <w:r>
              <w:rPr>
                <w:rFonts w:ascii="Arial" w:hAnsi="Arial" w:eastAsia="微软雅黑"/>
                <w:b w:val="0"/>
                <w:sz w:val="20"/>
              </w:rPr>
              <w:t>未闭合时不得上升为正式动力学入口</w:t>
            </w:r>
          </w:p>
        </w:tc>
      </w:tr>
      <w:tr w14:paraId="237E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AAD64DC">
            <w:pPr>
              <w:spacing w:after="0" w:line="240" w:lineRule="auto"/>
            </w:pPr>
            <w:r>
              <w:rPr>
                <w:rFonts w:ascii="Arial" w:hAnsi="Arial" w:eastAsia="微软雅黑"/>
                <w:b w:val="0"/>
                <w:sz w:val="20"/>
              </w:rPr>
              <w:t>V_ref 是否有约束或替代量</w:t>
            </w:r>
          </w:p>
        </w:tc>
        <w:tc>
          <w:tcPr>
            <w:tcW w:w="3264" w:type="dxa"/>
            <w:vAlign w:val="center"/>
          </w:tcPr>
          <w:p w14:paraId="74AC7121">
            <w:pPr>
              <w:spacing w:after="0" w:line="240" w:lineRule="auto"/>
            </w:pPr>
            <w:r>
              <w:rPr>
                <w:rFonts w:ascii="Arial" w:hAnsi="Arial" w:eastAsia="微软雅黑"/>
                <w:b w:val="0"/>
                <w:sz w:val="20"/>
              </w:rPr>
              <w:t>影响曲率耦合与几何解释</w:t>
            </w:r>
          </w:p>
        </w:tc>
        <w:tc>
          <w:tcPr>
            <w:tcW w:w="3264" w:type="dxa"/>
            <w:vAlign w:val="center"/>
          </w:tcPr>
          <w:p w14:paraId="410A303F">
            <w:pPr>
              <w:spacing w:after="0" w:line="240" w:lineRule="auto"/>
            </w:pPr>
            <w:r>
              <w:rPr>
                <w:rFonts w:ascii="Arial" w:hAnsi="Arial" w:eastAsia="微软雅黑"/>
                <w:b w:val="0"/>
                <w:sz w:val="20"/>
              </w:rPr>
              <w:t>未闭合时只可作诊断量</w:t>
            </w:r>
          </w:p>
        </w:tc>
      </w:tr>
      <w:tr w14:paraId="5542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5706142">
            <w:pPr>
              <w:spacing w:after="0" w:line="240" w:lineRule="auto"/>
            </w:pPr>
            <w:r>
              <w:rPr>
                <w:rFonts w:ascii="Arial" w:hAnsi="Arial" w:eastAsia="微软雅黑"/>
                <w:b w:val="0"/>
                <w:sz w:val="20"/>
              </w:rPr>
              <w:t>S_int 是否已定义</w:t>
            </w:r>
          </w:p>
        </w:tc>
        <w:tc>
          <w:tcPr>
            <w:tcW w:w="3264" w:type="dxa"/>
            <w:vAlign w:val="center"/>
          </w:tcPr>
          <w:p w14:paraId="2602DF97">
            <w:pPr>
              <w:spacing w:after="0" w:line="240" w:lineRule="auto"/>
            </w:pPr>
            <w:r>
              <w:rPr>
                <w:rFonts w:ascii="Arial" w:hAnsi="Arial" w:eastAsia="微软雅黑"/>
                <w:b w:val="0"/>
                <w:sz w:val="20"/>
              </w:rPr>
              <w:t>影响邻域与相互作用读出</w:t>
            </w:r>
          </w:p>
        </w:tc>
        <w:tc>
          <w:tcPr>
            <w:tcW w:w="3264" w:type="dxa"/>
            <w:vAlign w:val="center"/>
          </w:tcPr>
          <w:p w14:paraId="3FA17873">
            <w:pPr>
              <w:spacing w:after="0" w:line="240" w:lineRule="auto"/>
            </w:pPr>
            <w:r>
              <w:rPr>
                <w:rFonts w:ascii="Arial" w:hAnsi="Arial" w:eastAsia="微软雅黑"/>
                <w:b w:val="0"/>
                <w:sz w:val="20"/>
              </w:rPr>
              <w:t>未闭合时传播与守恒定义必须降格</w:t>
            </w:r>
          </w:p>
        </w:tc>
      </w:tr>
      <w:tr w14:paraId="3108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56F6122">
            <w:pPr>
              <w:spacing w:after="0" w:line="240" w:lineRule="auto"/>
            </w:pPr>
            <w:r>
              <w:rPr>
                <w:rFonts w:ascii="Arial" w:hAnsi="Arial" w:eastAsia="微软雅黑"/>
                <w:b w:val="0"/>
                <w:sz w:val="20"/>
              </w:rPr>
              <w:t>D_eff 的微分形式是否合法</w:t>
            </w:r>
          </w:p>
        </w:tc>
        <w:tc>
          <w:tcPr>
            <w:tcW w:w="3264" w:type="dxa"/>
            <w:vAlign w:val="center"/>
          </w:tcPr>
          <w:p w14:paraId="52B0E8C4">
            <w:pPr>
              <w:spacing w:after="0" w:line="240" w:lineRule="auto"/>
            </w:pPr>
            <w:r>
              <w:rPr>
                <w:rFonts w:ascii="Arial" w:hAnsi="Arial" w:eastAsia="微软雅黑"/>
                <w:b w:val="0"/>
                <w:sz w:val="20"/>
              </w:rPr>
              <w:t>影响连续极限前升级表</w:t>
            </w:r>
          </w:p>
        </w:tc>
        <w:tc>
          <w:tcPr>
            <w:tcW w:w="3264" w:type="dxa"/>
            <w:vAlign w:val="center"/>
          </w:tcPr>
          <w:p w14:paraId="660DFFF6">
            <w:pPr>
              <w:spacing w:after="0" w:line="240" w:lineRule="auto"/>
            </w:pPr>
            <w:r>
              <w:rPr>
                <w:rFonts w:ascii="Arial" w:hAnsi="Arial" w:eastAsia="微软雅黑"/>
                <w:b w:val="0"/>
                <w:sz w:val="20"/>
              </w:rPr>
              <w:t>必要时降为仅施工变量</w:t>
            </w:r>
          </w:p>
        </w:tc>
      </w:tr>
    </w:tbl>
    <w:p w14:paraId="241C866A">
      <w:pPr>
        <w:pStyle w:val="3"/>
      </w:pPr>
      <w:r>
        <w:t>九、失败症状—诊断—回退动作表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5941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002C4082">
            <w:pPr>
              <w:spacing w:after="0" w:line="240" w:lineRule="auto"/>
            </w:pPr>
            <w:r>
              <w:rPr>
                <w:rFonts w:ascii="Arial" w:hAnsi="Arial" w:eastAsia="微软雅黑"/>
                <w:b/>
                <w:sz w:val="20"/>
              </w:rPr>
              <w:t>失败症状</w:t>
            </w:r>
          </w:p>
        </w:tc>
        <w:tc>
          <w:tcPr>
            <w:tcW w:w="3264" w:type="dxa"/>
            <w:shd w:val="clear" w:color="auto" w:fill="D9EAF7"/>
            <w:vAlign w:val="center"/>
          </w:tcPr>
          <w:p w14:paraId="0A6C161A">
            <w:pPr>
              <w:spacing w:after="0" w:line="240" w:lineRule="auto"/>
            </w:pPr>
            <w:r>
              <w:rPr>
                <w:rFonts w:ascii="Arial" w:hAnsi="Arial" w:eastAsia="微软雅黑"/>
                <w:b/>
                <w:sz w:val="20"/>
              </w:rPr>
              <w:t>诊断</w:t>
            </w:r>
          </w:p>
        </w:tc>
        <w:tc>
          <w:tcPr>
            <w:tcW w:w="3264" w:type="dxa"/>
            <w:shd w:val="clear" w:color="auto" w:fill="D9EAF7"/>
            <w:vAlign w:val="center"/>
          </w:tcPr>
          <w:p w14:paraId="2763E237">
            <w:pPr>
              <w:spacing w:after="0" w:line="240" w:lineRule="auto"/>
            </w:pPr>
            <w:r>
              <w:rPr>
                <w:rFonts w:ascii="Arial" w:hAnsi="Arial" w:eastAsia="微软雅黑"/>
                <w:b/>
                <w:sz w:val="20"/>
              </w:rPr>
              <w:t>回退动作</w:t>
            </w:r>
          </w:p>
        </w:tc>
      </w:tr>
      <w:tr w14:paraId="0AF7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F98BF64">
            <w:pPr>
              <w:spacing w:after="0" w:line="240" w:lineRule="auto"/>
            </w:pPr>
            <w:r>
              <w:rPr>
                <w:rFonts w:ascii="Arial" w:hAnsi="Arial" w:eastAsia="微软雅黑"/>
                <w:b w:val="0"/>
                <w:sz w:val="20"/>
              </w:rPr>
              <w:t>传播前沿在多个合法切片下不收敛</w:t>
            </w:r>
          </w:p>
        </w:tc>
        <w:tc>
          <w:tcPr>
            <w:tcW w:w="3264" w:type="dxa"/>
            <w:vAlign w:val="center"/>
          </w:tcPr>
          <w:p w14:paraId="45F2FE12">
            <w:pPr>
              <w:spacing w:after="0" w:line="240" w:lineRule="auto"/>
            </w:pPr>
            <w:r>
              <w:rPr>
                <w:rFonts w:ascii="Arial" w:hAnsi="Arial" w:eastAsia="微软雅黑"/>
                <w:b w:val="0"/>
                <w:sz w:val="20"/>
              </w:rPr>
              <w:t>切片依赖过强或传播定义本身不稳</w:t>
            </w:r>
          </w:p>
        </w:tc>
        <w:tc>
          <w:tcPr>
            <w:tcW w:w="3264" w:type="dxa"/>
            <w:vAlign w:val="center"/>
          </w:tcPr>
          <w:p w14:paraId="2FED5666">
            <w:pPr>
              <w:spacing w:after="0" w:line="240" w:lineRule="auto"/>
            </w:pPr>
            <w:r>
              <w:rPr>
                <w:rFonts w:ascii="Arial" w:hAnsi="Arial" w:eastAsia="微软雅黑"/>
                <w:b w:val="0"/>
                <w:sz w:val="20"/>
              </w:rPr>
              <w:t>回退至第三编接口层，重审因果邻域与切片兼容性</w:t>
            </w:r>
          </w:p>
        </w:tc>
      </w:tr>
      <w:tr w14:paraId="680A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00748BA">
            <w:pPr>
              <w:spacing w:after="0" w:line="240" w:lineRule="auto"/>
            </w:pPr>
            <w:r>
              <w:rPr>
                <w:rFonts w:ascii="Arial" w:hAnsi="Arial" w:eastAsia="微软雅黑"/>
                <w:b w:val="0"/>
                <w:sz w:val="20"/>
              </w:rPr>
              <w:t>守恒框架闭合度持续过低</w:t>
            </w:r>
          </w:p>
        </w:tc>
        <w:tc>
          <w:tcPr>
            <w:tcW w:w="3264" w:type="dxa"/>
            <w:vAlign w:val="center"/>
          </w:tcPr>
          <w:p w14:paraId="3F422CD3">
            <w:pPr>
              <w:spacing w:after="0" w:line="240" w:lineRule="auto"/>
            </w:pPr>
            <w:r>
              <w:rPr>
                <w:rFonts w:ascii="Arial" w:hAnsi="Arial" w:eastAsia="微软雅黑"/>
                <w:b w:val="0"/>
                <w:sz w:val="20"/>
              </w:rPr>
              <w:t>总量定义或通量权重规则不适配</w:t>
            </w:r>
          </w:p>
        </w:tc>
        <w:tc>
          <w:tcPr>
            <w:tcW w:w="3264" w:type="dxa"/>
            <w:vAlign w:val="center"/>
          </w:tcPr>
          <w:p w14:paraId="03085E43">
            <w:pPr>
              <w:spacing w:after="0" w:line="240" w:lineRule="auto"/>
            </w:pPr>
            <w:r>
              <w:rPr>
                <w:rFonts w:ascii="Arial" w:hAnsi="Arial" w:eastAsia="微软雅黑"/>
                <w:b w:val="0"/>
                <w:sz w:val="20"/>
              </w:rPr>
              <w:t>回退至总量候选层，重新比较三类总量与加权通量</w:t>
            </w:r>
          </w:p>
        </w:tc>
      </w:tr>
      <w:tr w14:paraId="7CE1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BE34066">
            <w:pPr>
              <w:spacing w:after="0" w:line="240" w:lineRule="auto"/>
            </w:pPr>
            <w:r>
              <w:rPr>
                <w:rFonts w:ascii="Arial" w:hAnsi="Arial" w:eastAsia="微软雅黑"/>
                <w:b w:val="0"/>
                <w:sz w:val="20"/>
              </w:rPr>
              <w:t>稳定激发对外部几何的响应不稳定</w:t>
            </w:r>
          </w:p>
        </w:tc>
        <w:tc>
          <w:tcPr>
            <w:tcW w:w="3264" w:type="dxa"/>
            <w:vAlign w:val="center"/>
          </w:tcPr>
          <w:p w14:paraId="20D15D11">
            <w:pPr>
              <w:spacing w:after="0" w:line="240" w:lineRule="auto"/>
            </w:pPr>
            <w:r>
              <w:rPr>
                <w:rFonts w:ascii="Arial" w:hAnsi="Arial" w:eastAsia="微软雅黑"/>
                <w:b w:val="0"/>
                <w:sz w:val="20"/>
              </w:rPr>
              <w:t>稳定态识别或外部几何读出规则不牢</w:t>
            </w:r>
          </w:p>
        </w:tc>
        <w:tc>
          <w:tcPr>
            <w:tcW w:w="3264" w:type="dxa"/>
            <w:vAlign w:val="center"/>
          </w:tcPr>
          <w:p w14:paraId="41A7BA26">
            <w:pPr>
              <w:spacing w:after="0" w:line="240" w:lineRule="auto"/>
            </w:pPr>
            <w:r>
              <w:rPr>
                <w:rFonts w:ascii="Arial" w:hAnsi="Arial" w:eastAsia="微软雅黑"/>
                <w:b w:val="0"/>
                <w:sz w:val="20"/>
              </w:rPr>
              <w:t>回退至稳定激发章与耦合章接口层</w:t>
            </w:r>
          </w:p>
        </w:tc>
      </w:tr>
      <w:tr w14:paraId="11C5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494684F">
            <w:pPr>
              <w:spacing w:after="0" w:line="240" w:lineRule="auto"/>
            </w:pPr>
            <w:r>
              <w:rPr>
                <w:rFonts w:ascii="Arial" w:hAnsi="Arial" w:eastAsia="微软雅黑"/>
                <w:b w:val="0"/>
                <w:sz w:val="20"/>
              </w:rPr>
              <w:t>质量三分比较结果高度依赖窗口选择</w:t>
            </w:r>
          </w:p>
        </w:tc>
        <w:tc>
          <w:tcPr>
            <w:tcW w:w="3264" w:type="dxa"/>
            <w:vAlign w:val="center"/>
          </w:tcPr>
          <w:p w14:paraId="08507053">
            <w:pPr>
              <w:spacing w:after="0" w:line="240" w:lineRule="auto"/>
            </w:pPr>
            <w:r>
              <w:rPr>
                <w:rFonts w:ascii="Arial" w:hAnsi="Arial" w:eastAsia="微软雅黑"/>
                <w:b w:val="0"/>
                <w:sz w:val="20"/>
              </w:rPr>
              <w:t>连续极限前假阳性风险过高</w:t>
            </w:r>
          </w:p>
        </w:tc>
        <w:tc>
          <w:tcPr>
            <w:tcW w:w="3264" w:type="dxa"/>
            <w:vAlign w:val="center"/>
          </w:tcPr>
          <w:p w14:paraId="187A877B">
            <w:pPr>
              <w:spacing w:after="0" w:line="240" w:lineRule="auto"/>
            </w:pPr>
            <w:r>
              <w:rPr>
                <w:rFonts w:ascii="Arial" w:hAnsi="Arial" w:eastAsia="微软雅黑"/>
                <w:b w:val="0"/>
                <w:sz w:val="20"/>
              </w:rPr>
              <w:t>暂停弱场比较结论，回退至升级表重审</w:t>
            </w:r>
          </w:p>
        </w:tc>
      </w:tr>
    </w:tbl>
    <w:p w14:paraId="297177D0">
      <w:pPr>
        <w:pStyle w:val="3"/>
      </w:pPr>
      <w:r>
        <w:t>十、第四编正式开写顺序（锁定）</w:t>
      </w:r>
    </w:p>
    <w:p w14:paraId="7D3326EB">
      <w:pPr>
        <w:spacing w:after="60"/>
        <w:ind w:left="288"/>
      </w:pPr>
      <w:r>
        <w:t>1. 卷首总说明 / A0 正式稿</w:t>
      </w:r>
    </w:p>
    <w:p w14:paraId="29E98FC7">
      <w:pPr>
        <w:spacing w:after="60"/>
        <w:ind w:left="288"/>
      </w:pPr>
      <w:r>
        <w:t>2. 第一章：质量三分定义及其等效性问题的接口设定</w:t>
      </w:r>
    </w:p>
    <w:p w14:paraId="0443BAC5">
      <w:pPr>
        <w:spacing w:after="60"/>
        <w:ind w:left="288"/>
      </w:pPr>
      <w:r>
        <w:t>3. 第二章：有效状态变量的筛选原则</w:t>
      </w:r>
    </w:p>
    <w:p w14:paraId="4C7AB6E3">
      <w:pPr>
        <w:spacing w:after="60"/>
        <w:ind w:left="288"/>
      </w:pPr>
      <w:r>
        <w:t>4. 第 2.5 章：贯穿性最小示例</w:t>
      </w:r>
    </w:p>
    <w:p w14:paraId="6EB544E1">
      <w:pPr>
        <w:spacing w:after="60"/>
        <w:ind w:left="288"/>
      </w:pPr>
      <w:r>
        <w:t>5. 第三章：稳定激发与有效粒子态</w:t>
      </w:r>
    </w:p>
    <w:p w14:paraId="2A1DF98B">
      <w:pPr>
        <w:spacing w:after="60"/>
        <w:ind w:left="288"/>
      </w:pPr>
      <w:r>
        <w:t>6. 第四章：传播与响应的最小构造</w:t>
      </w:r>
    </w:p>
    <w:p w14:paraId="2E0A71F9">
      <w:pPr>
        <w:spacing w:after="60"/>
        <w:ind w:left="288"/>
      </w:pPr>
      <w:r>
        <w:t>7. 第六章：守恒、通量、源项与边界荷</w:t>
      </w:r>
    </w:p>
    <w:p w14:paraId="398C452A">
      <w:pPr>
        <w:spacing w:after="60"/>
        <w:ind w:left="288"/>
      </w:pPr>
      <w:r>
        <w:t>8. 第十章：数值施工协议与验收表</w:t>
      </w:r>
    </w:p>
    <w:p w14:paraId="6F9AED36">
      <w:pPr>
        <w:spacing w:after="60"/>
        <w:ind w:left="288"/>
      </w:pPr>
      <w:r>
        <w:t>9. 第五章：外部有效几何与被动引力耦合</w:t>
      </w:r>
    </w:p>
    <w:p w14:paraId="7808078B">
      <w:pPr>
        <w:spacing w:after="60"/>
        <w:ind w:left="288"/>
      </w:pPr>
      <w:r>
        <w:t>10. 第七章：几何—动力学—质量耦合原型</w:t>
      </w:r>
    </w:p>
    <w:p w14:paraId="25130A41">
      <w:pPr>
        <w:spacing w:after="60"/>
        <w:ind w:left="288"/>
      </w:pPr>
      <w:r>
        <w:t>11. 第八章：弱场极限与等效性待证命题</w:t>
      </w:r>
    </w:p>
    <w:p w14:paraId="3BEDCFE0">
      <w:pPr>
        <w:spacing w:after="60"/>
        <w:ind w:left="288"/>
      </w:pPr>
      <w:r>
        <w:t>12. 第九章：连续极限前判据与变量升级表</w:t>
      </w:r>
    </w:p>
    <w:p w14:paraId="59A3E3A6">
      <w:pPr>
        <w:sectPr>
          <w:pgSz w:w="12240" w:h="15840"/>
          <w:pgMar w:top="1152" w:right="1224" w:bottom="1152" w:left="1224" w:header="720" w:footer="720" w:gutter="0"/>
          <w:cols w:space="720" w:num="1"/>
          <w:docGrid w:linePitch="360" w:charSpace="0"/>
        </w:sectPr>
      </w:pPr>
    </w:p>
    <w:p w14:paraId="21EE5001">
      <w:pPr>
        <w:pStyle w:val="3"/>
      </w:pPr>
      <w:r>
        <w:t>English Version</w:t>
      </w:r>
    </w:p>
    <w:p w14:paraId="4F834447">
      <w:pPr>
        <w:pStyle w:val="4"/>
      </w:pPr>
      <w:r>
        <w:t>1. Status and Purpose</w:t>
      </w:r>
    </w:p>
    <w:p w14:paraId="300E2BBB">
      <w:pPr>
        <w:spacing w:after="120" w:line="300" w:lineRule="auto"/>
      </w:pPr>
      <w:r>
        <w:t>This document is the front matter and A0 operational addendum for Volume IV of BNCFT. It does not prove final laws. Its role is to lock down the boundaries, objects, interfaces, failure conditions, and patch gates that must be fixed before formal drafting begins.</w:t>
      </w:r>
    </w:p>
    <w:p w14:paraId="0F25F1AA">
      <w:pPr>
        <w:pStyle w:val="4"/>
      </w:pPr>
      <w:r>
        <w:t>2. Position inside the BNCFT corpus</w:t>
      </w:r>
    </w:p>
    <w:p w14:paraId="1389298D">
      <w:pPr>
        <w:spacing w:after="120" w:line="300" w:lineRule="auto"/>
      </w:pPr>
      <w:r>
        <w:t>Volume IV is the transition layer from discrete structure to effective physical quantities. It is the first bridge from the discrete geometric interface to the effective physical interface.</w:t>
      </w:r>
    </w:p>
    <w:p w14:paraId="3D9BE57E">
      <w:pPr>
        <w:pStyle w:val="4"/>
      </w:pPr>
      <w:r>
        <w:t>3. Immediate organizing axis of Volume IV</w:t>
      </w:r>
    </w:p>
    <w:p w14:paraId="31F99D98">
      <w:pPr>
        <w:spacing w:after="120" w:line="300" w:lineRule="auto"/>
      </w:pPr>
      <w:r>
        <w:t>Under the current revision discipline, the first organizing axis inside Volume IV is already fixed as the threefold definition of mass and the equivalence problem. A0 fixes the construction discipline; Chapter 1 fixes the mass interface.</w:t>
      </w:r>
    </w:p>
    <w:p w14:paraId="693CF9E1">
      <w:pPr>
        <w:pStyle w:val="4"/>
      </w:pPr>
      <w:r>
        <w:t>4. Minimum operational commitments</w:t>
      </w:r>
    </w:p>
    <w:p w14:paraId="0CBEA2BA">
      <w:pPr>
        <w:spacing w:after="120" w:line="300" w:lineRule="auto"/>
      </w:pPr>
      <w:r>
        <w:t>Before formal drafting, Volume IV must at least fix: the candidate variable table, the two-axis propagation scheme, the candidate definitions of total quantity, the weighted flux rule, the residual/stable-source distinction, the precondition patch gate, and the symptom–diagnosis–rollback table.</w:t>
      </w:r>
    </w:p>
    <w:p w14:paraId="2C6B2A58">
      <w:pPr>
        <w:pStyle w:val="4"/>
      </w:pPr>
      <w:r>
        <w:t>5. Formal writing order</w:t>
      </w:r>
    </w:p>
    <w:p w14:paraId="53773819">
      <w:pPr>
        <w:spacing w:after="120" w:line="300" w:lineRule="auto"/>
      </w:pPr>
      <w:r>
        <w:t>The recommended order is: A0 front matter, Chapter 1 mass interface, Chapter 2 effective state variables, Chapter 2.5 minimal example, Chapter 3 stable excitations, Chapter 4 propagation and response, Chapter 6 conservation and source structure, Chapter 10 numerical protocol, then Chapters 5, 7, 8, and 9.</w:t>
      </w:r>
    </w:p>
    <w:tbl>
      <w:tblPr>
        <w:tblStyle w:val="32"/>
        <w:tblW w:w="0" w:type="auto"/>
        <w:jc w:val="center"/>
        <w:tblLayout w:type="autofit"/>
        <w:tblCellMar>
          <w:top w:w="0" w:type="dxa"/>
          <w:left w:w="108" w:type="dxa"/>
          <w:bottom w:w="0" w:type="dxa"/>
          <w:right w:w="108" w:type="dxa"/>
        </w:tblCellMar>
      </w:tblPr>
      <w:tblGrid>
        <w:gridCol w:w="9792"/>
      </w:tblGrid>
      <w:tr w14:paraId="379DFE1E">
        <w:tblPrEx>
          <w:tblCellMar>
            <w:top w:w="0" w:type="dxa"/>
            <w:left w:w="108" w:type="dxa"/>
            <w:bottom w:w="0" w:type="dxa"/>
            <w:right w:w="108" w:type="dxa"/>
          </w:tblCellMar>
        </w:tblPrEx>
        <w:trPr>
          <w:jc w:val="center"/>
        </w:trPr>
        <w:tc>
          <w:tcPr>
            <w:tcW w:w="9792" w:type="dxa"/>
            <w:shd w:val="clear" w:color="auto" w:fill="F7F7F7"/>
            <w:vAlign w:val="center"/>
          </w:tcPr>
          <w:p w14:paraId="4F605D47">
            <w:r>
              <w:rPr>
                <w:rFonts w:ascii="Arial" w:hAnsi="Arial" w:eastAsia="微软雅黑"/>
                <w:b w:val="0"/>
                <w:sz w:val="20"/>
              </w:rPr>
              <w:t>执行说明 / Execution Note</w:t>
            </w:r>
            <w:r>
              <w:rPr>
                <w:rFonts w:ascii="Arial" w:hAnsi="Arial" w:eastAsia="微软雅黑"/>
                <w:b w:val="0"/>
                <w:sz w:val="20"/>
              </w:rPr>
              <w:br w:type="textWrapping"/>
            </w:r>
            <w:r>
              <w:rPr>
                <w:rFonts w:ascii="Arial" w:hAnsi="Arial" w:eastAsia="微软雅黑"/>
                <w:b w:val="0"/>
                <w:sz w:val="20"/>
              </w:rPr>
              <w:t>本稿完成后，下一份应直接进入《第四编第一章：质量三分定义及其等效性问题的接口设定》正式正文。</w:t>
            </w:r>
          </w:p>
        </w:tc>
      </w:tr>
    </w:tbl>
    <w:p w14:paraId="608A4F99"/>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817C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ubtitleCustom"/>
    <w:qFormat/>
    <w:uiPriority w:val="0"/>
    <w:pPr>
      <w:spacing w:after="200" w:line="276" w:lineRule="auto"/>
    </w:pPr>
    <w:rPr>
      <w:rFonts w:ascii="Arial" w:hAnsi="Arial" w:eastAsia="微软雅黑" w:cstheme="minorBidi"/>
      <w:i/>
      <w:color w:val="666666"/>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645</Words>
  <Characters>785</Characters>
  <Lines>0</Lines>
  <Paragraphs>0</Paragraphs>
  <TotalTime>0</TotalTime>
  <ScaleCrop>false</ScaleCrop>
  <LinksUpToDate>false</LinksUpToDate>
  <CharactersWithSpaces>822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wuqiming</cp:lastModifiedBy>
  <dcterms:modified xsi:type="dcterms:W3CDTF">2026-04-18T06:55:40Z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69EF6269440A4FC580A74D1E8CE197AB_13</vt:lpwstr>
  </property>
</Properties>
</file>