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97ABE">
      <w:pPr>
        <w:spacing w:before="1000"/>
        <w:jc w:val="center"/>
      </w:pPr>
      <w:r>
        <w:rPr>
          <w:rFonts w:ascii="Cambria" w:hAnsi="Cambria" w:eastAsia="微软雅黑"/>
          <w:b/>
          <w:color w:val="1F4E79"/>
          <w:sz w:val="48"/>
        </w:rPr>
        <w:t>第四编预备稿（重写版）</w:t>
      </w:r>
    </w:p>
    <w:p w14:paraId="07F5134E">
      <w:pPr>
        <w:jc w:val="center"/>
      </w:pPr>
      <w:r>
        <w:rPr>
          <w:rFonts w:ascii="Times New Roman" w:hAnsi="Times New Roman" w:eastAsia="微软雅黑"/>
          <w:b/>
          <w:sz w:val="28"/>
        </w:rPr>
        <w:t>第四编：有效物理接口与质量问题——从离散几何到有效动力学的预备构造</w:t>
      </w:r>
    </w:p>
    <w:p w14:paraId="0BF6D319">
      <w:pPr>
        <w:jc w:val="center"/>
      </w:pPr>
      <w:r>
        <w:rPr>
          <w:rFonts w:ascii="Cambria" w:hAnsi="Cambria" w:eastAsia="宋体"/>
          <w:sz w:val="24"/>
        </w:rPr>
        <w:t>Volume IV Preparatory Draft (Rewritten)</w:t>
      </w:r>
      <w:r>
        <w:rPr>
          <w:rFonts w:ascii="Cambria" w:hAnsi="Cambria" w:eastAsia="宋体"/>
          <w:sz w:val="24"/>
        </w:rPr>
        <w:br w:type="textWrapping"/>
      </w:r>
      <w:r>
        <w:rPr>
          <w:rFonts w:ascii="Cambria" w:hAnsi="Cambria" w:eastAsia="宋体"/>
          <w:sz w:val="24"/>
        </w:rPr>
        <w:t>Volume IV: Effective Physical Interfaces and the Mass Problem — Preparatory Constructions from Discrete Geometry to Effective Dynamics</w:t>
      </w:r>
    </w:p>
    <w:p w14:paraId="45D0F0D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6DDC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65C01C5C">
            <w:pPr>
              <w:pStyle w:val="164"/>
              <w:jc w:val="center"/>
            </w:pPr>
            <w:r>
              <w:rPr>
                <w:b/>
                <w:color w:val="1F1F1F"/>
              </w:rPr>
              <w:t>版本 Version</w:t>
            </w:r>
          </w:p>
        </w:tc>
        <w:tc>
          <w:tcPr>
            <w:tcW w:w="4759" w:type="dxa"/>
            <w:vAlign w:val="center"/>
          </w:tcPr>
          <w:p w14:paraId="42F6D26C">
            <w:pPr>
              <w:pStyle w:val="164"/>
            </w:pPr>
            <w:r>
              <w:t>V1</w:t>
            </w:r>
          </w:p>
        </w:tc>
      </w:tr>
      <w:tr w14:paraId="7143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4C0A8583">
            <w:pPr>
              <w:pStyle w:val="164"/>
              <w:jc w:val="center"/>
            </w:pPr>
            <w:r>
              <w:rPr>
                <w:b/>
                <w:color w:val="1F1F1F"/>
              </w:rPr>
              <w:t>日期 Date</w:t>
            </w:r>
          </w:p>
        </w:tc>
        <w:tc>
          <w:tcPr>
            <w:tcW w:w="4759" w:type="dxa"/>
            <w:vAlign w:val="center"/>
          </w:tcPr>
          <w:p w14:paraId="555D6ACF">
            <w:pPr>
              <w:pStyle w:val="164"/>
            </w:pPr>
            <w:r>
              <w:t>2026-04-18</w:t>
            </w:r>
          </w:p>
        </w:tc>
      </w:tr>
      <w:tr w14:paraId="1417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3D3F665F">
            <w:pPr>
              <w:pStyle w:val="164"/>
              <w:jc w:val="center"/>
            </w:pPr>
            <w:r>
              <w:rPr>
                <w:b/>
                <w:color w:val="1F1F1F"/>
              </w:rPr>
              <w:t>文档性质</w:t>
            </w:r>
          </w:p>
        </w:tc>
        <w:tc>
          <w:tcPr>
            <w:tcW w:w="4759" w:type="dxa"/>
            <w:vAlign w:val="center"/>
          </w:tcPr>
          <w:p w14:paraId="7BBBA025">
            <w:pPr>
              <w:pStyle w:val="164"/>
            </w:pPr>
            <w:r>
              <w:t>中英双语正式文档 / Bilingual formal document</w:t>
            </w:r>
          </w:p>
        </w:tc>
      </w:tr>
      <w:tr w14:paraId="7A60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0B25D57B">
            <w:pPr>
              <w:pStyle w:val="164"/>
              <w:jc w:val="center"/>
            </w:pPr>
            <w:r>
              <w:rPr>
                <w:b/>
                <w:color w:val="1F1F1F"/>
              </w:rPr>
              <w:t>说明</w:t>
            </w:r>
          </w:p>
        </w:tc>
        <w:tc>
          <w:tcPr>
            <w:tcW w:w="4759" w:type="dxa"/>
            <w:vAlign w:val="center"/>
          </w:tcPr>
          <w:p w14:paraId="5813BCC2">
            <w:pPr>
              <w:pStyle w:val="164"/>
            </w:pPr>
            <w:r>
              <w:t>按第四编“整编重写”主线整理，包含中文与英文对应版</w:t>
            </w:r>
          </w:p>
        </w:tc>
      </w:tr>
    </w:tbl>
    <w:p w14:paraId="265686A5"/>
    <w:p w14:paraId="7817C383">
      <w:pPr>
        <w:pStyle w:val="164"/>
        <w:jc w:val="center"/>
      </w:pPr>
      <w:r>
        <w:rPr>
          <w:i/>
        </w:rPr>
        <w:t>说明：本稿为第四编整编重写后的预备稿，定位为“有效物理接口与质量问题”的过渡编。</w:t>
      </w:r>
    </w:p>
    <w:p w14:paraId="2B223FAD">
      <w:r>
        <w:br w:type="page"/>
      </w:r>
    </w:p>
    <w:p w14:paraId="076EF237">
      <w:pPr>
        <w:pStyle w:val="31"/>
        <w:jc w:val="left"/>
      </w:pPr>
      <w:r>
        <w:t>中文版</w:t>
      </w:r>
    </w:p>
    <w:p w14:paraId="597C457B">
      <w:pPr>
        <w:pStyle w:val="3"/>
      </w:pPr>
      <w:r>
        <w:t>一、第四编的重新定位</w:t>
      </w:r>
    </w:p>
    <w:p w14:paraId="63676D92">
      <w:r>
        <w:t>在重写后的整体结构中，第四编不再仅仅被表述为“有效动力学预备层”，而更明确地承担以下双重使命：</w:t>
      </w:r>
    </w:p>
    <w:p w14:paraId="1B0F9AFA">
      <w:r>
        <w:t>1. 把第三编形成的离散几何接口推进为可进入有效动力学的变量层；</w:t>
      </w:r>
    </w:p>
    <w:p w14:paraId="5AE48F4C">
      <w:r>
        <w:t>2. 把前三编的结构对象首次翻译为可识别的有效物理对象，并以“质量三分定义及其等效性问题”作为首个受控接口。</w:t>
      </w:r>
    </w:p>
    <w:p w14:paraId="22AA686B">
      <w:r>
        <w:t>因此，第四编的地位可概括为：第四编是从离散结构走向有效物理量的过渡编，是“离散几何接口”通往“有效物理接口”的第一座桥。</w:t>
      </w:r>
    </w:p>
    <w:p w14:paraId="69D8FD5C">
      <w:r>
        <w:t>它不是终局方程层，也不是宣传性结论层。它的中心任务不</w:t>
      </w:r>
      <w:bookmarkStart w:id="0" w:name="_GoBack"/>
      <w:bookmarkEnd w:id="0"/>
      <w:r>
        <w:t>是直接宣布广义相对论、量子场论或统一理论已经推出，而是回答以下更基本的问题：哪些前三编对象可以升级为有效物理变量；哪些稳定结构可以被读作低能粒子态、物体态或源项；惯性质量、被动引力质量、主动引力质量在 BiCFT 中分别从哪里长出来；在无背景条件下，这三类对象能否被放入同一弱场比较框架。</w:t>
      </w:r>
    </w:p>
    <w:p w14:paraId="3C212497">
      <w:r>
        <w:t>故第四编的身份应固定为：第四编是“有效物理接口预备层”，不是终局方程层。</w:t>
      </w:r>
    </w:p>
    <w:p w14:paraId="097E40BC">
      <w:pPr>
        <w:pStyle w:val="3"/>
      </w:pPr>
      <w:r>
        <w:t>二、与前三编的衔接关系</w:t>
      </w:r>
    </w:p>
    <w:p w14:paraId="236613D5">
      <w:r>
        <w:t>1. 与第一编的关系：第一编给出母动力学、公设、合法对象、红线与回退机制。第四编必须完全服从第一编的硬约束：不预设连续流形，不预设外部时间参数，不偷运经典度规或联络，不用“像某物理理论”替代正式构造，任何连续量只能作为粗粒化或有效读出的后验对象出现。</w:t>
      </w:r>
    </w:p>
    <w:p w14:paraId="25A1C89A">
      <w:r>
        <w:t>2. 与第二编的关系：第二编完成从更新序到因果序、从因果序到时间刻画与空间切片的构造。因此第四编中的传播、响应、速度、通量、守恒、源项，都必须以第二编定义出的因果结构与切片结构为基础。第四编中的大部分定义都应显式挂载其前置依赖，例如给定因果序、给定合法切片族、给定读出规则与粗粒化尺度，以及给定第三编的路径代价或体积增长权重规则。</w:t>
      </w:r>
    </w:p>
    <w:p w14:paraId="3FC82545">
      <w:r>
        <w:t>3. 与第三编的关系：第三编提供离散几何接口，包括路径代价、距离代理、体积增长、曲率代理、边界结构、切片几何量、局域邻域关系。第四编不重做第三编，而是回答：哪些几何量只是诊断量，哪些可升级为动力学变量；哪些几何量可进入质量、耦合、源项与弱场比较；哪些几何量在连续极限前具有升级资格，哪些只能停留于施工变量层。</w:t>
      </w:r>
    </w:p>
    <w:p w14:paraId="4E67CC2C">
      <w:r>
        <w:t>4. 与 BiCFT 总体愿景的关系：第四编所处理的“有效状态变量”“稳定激发”“源项”“边界荷”等对象，可被视为无背景公共场在离散粗粒化尺度上的投影、代理或足迹。本编不讨论该公共场的连续终局形式，而只锁定其在离散结构中可读出的最低层有效物理接口。</w:t>
      </w:r>
    </w:p>
    <w:p w14:paraId="5E69F0F7">
      <w:pPr>
        <w:pStyle w:val="3"/>
      </w:pPr>
      <w:r>
        <w:t>三、第四编的总任务</w:t>
      </w:r>
    </w:p>
    <w:p w14:paraId="5EA899D2">
      <w:r>
        <w:t>第四编的总任务可概括为一句话：在无背景前提下，把前三编的离散结构翻译为首批有效物理对象，并建立质量问题、传播问题、守恒问题与弱场比较问题的最小可验证接口。</w:t>
      </w:r>
    </w:p>
    <w:p w14:paraId="57B8291C">
      <w:r>
        <w:t>具体拆分为七项任务：任务 A，确定有效状态变量族；任务 B，建立贯穿性最小示例；任务 C，定义质量三分接口；任务 D，建立传播—响应判别框架；任务 E，建立守恒—通量—源项框架；任务 F，提出几何—动力学—质量耦合原型；任务 G，给出连续极限前判据与数值协议。</w:t>
      </w:r>
    </w:p>
    <w:p w14:paraId="1F463022">
      <w:pPr>
        <w:pStyle w:val="3"/>
      </w:pPr>
      <w:r>
        <w:t>四、第四编的非目标</w:t>
      </w:r>
    </w:p>
    <w:p w14:paraId="40157134">
      <w:r>
        <w:t>为防止越界，第四编明确不承担以下任务：不直接宣布爱因斯坦方程已被推出；不直接宣布薛定谔方程、狄拉克方程已被推出；不直接把任意离散传播都解释为真实粒子；不直接将某个曲率代理认定为黎曼曲率的唯一离散对应；不在本编内处理全部物质谱与相互作用分类；不把数值相似性误写成理论等价性；不把质量三分接口章写成终局证明章；不在没有切片稳定性、尺度稳定性与统计稳健性之前，把任何候选量升级为连续物理量。</w:t>
      </w:r>
    </w:p>
    <w:p w14:paraId="289FB37A">
      <w:pPr>
        <w:pStyle w:val="3"/>
      </w:pPr>
      <w:r>
        <w:t>五、重写后的正文结构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7"/>
        <w:gridCol w:w="5467"/>
      </w:tblGrid>
      <w:tr w14:paraId="0FFB7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tcPr>
          <w:p w14:paraId="0F30132A">
            <w:pPr>
              <w:jc w:val="center"/>
            </w:pPr>
            <w:r>
              <w:rPr>
                <w:b/>
              </w:rPr>
              <w:t>章节</w:t>
            </w:r>
          </w:p>
        </w:tc>
        <w:tc>
          <w:tcPr>
            <w:tcW w:w="4759" w:type="dxa"/>
            <w:shd w:val="clear" w:color="auto" w:fill="D9EAF7"/>
          </w:tcPr>
          <w:p w14:paraId="18FF0D0F">
            <w:pPr>
              <w:jc w:val="center"/>
            </w:pPr>
            <w:r>
              <w:rPr>
                <w:b/>
              </w:rPr>
              <w:t>功能与任务</w:t>
            </w:r>
          </w:p>
        </w:tc>
      </w:tr>
      <w:tr w14:paraId="3CDC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3FA0BD3A">
            <w:pPr>
              <w:jc w:val="center"/>
            </w:pPr>
            <w:r>
              <w:t>卷首总说明 / A0 层</w:t>
            </w:r>
          </w:p>
        </w:tc>
        <w:tc>
          <w:tcPr>
            <w:tcW w:w="6123" w:type="dxa"/>
            <w:vAlign w:val="center"/>
          </w:tcPr>
          <w:p w14:paraId="023521D0">
            <w:r>
              <w:t>固定变量候选表、传播双轴口径、总量与通量候选定义、残差项与稳定源项候选的区分、前三编补丁关卡，以及失败症状—诊断—回退动作表。</w:t>
            </w:r>
          </w:p>
        </w:tc>
      </w:tr>
      <w:tr w14:paraId="4355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2B534AF0">
            <w:pPr>
              <w:jc w:val="center"/>
            </w:pPr>
            <w:r>
              <w:t>第1章 质量三分定义及其等效性问题的接口设定</w:t>
            </w:r>
          </w:p>
        </w:tc>
        <w:tc>
          <w:tcPr>
            <w:tcW w:w="6123" w:type="dxa"/>
            <w:vAlign w:val="center"/>
          </w:tcPr>
          <w:p w14:paraId="1031D719">
            <w:r>
              <w:t>作为开篇接口章 / 预备章，固定惯性质量、被动引力质量、主动引力质量的区分，说明其依赖对象，并把等效性问题写成待证命题。</w:t>
            </w:r>
          </w:p>
        </w:tc>
      </w:tr>
      <w:tr w14:paraId="78AA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4D181F7">
            <w:pPr>
              <w:jc w:val="center"/>
            </w:pPr>
            <w:r>
              <w:t>第2章 有效状态变量的筛选原则</w:t>
            </w:r>
          </w:p>
        </w:tc>
        <w:tc>
          <w:tcPr>
            <w:tcW w:w="6123" w:type="dxa"/>
            <w:vAlign w:val="center"/>
          </w:tcPr>
          <w:p w14:paraId="4CB0D50B">
            <w:r>
              <w:t>按几何驱动、传播驱动、守恒驱动、质量接口变量四类，系统整理哪些量可进入有效物理接口。</w:t>
            </w:r>
          </w:p>
        </w:tc>
      </w:tr>
      <w:tr w14:paraId="1840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103D9B13">
            <w:pPr>
              <w:jc w:val="center"/>
            </w:pPr>
            <w:r>
              <w:t>第2.5章 贯穿性最小示例</w:t>
            </w:r>
          </w:p>
        </w:tc>
        <w:tc>
          <w:tcPr>
            <w:tcW w:w="6123" w:type="dxa"/>
            <w:vAlign w:val="center"/>
          </w:tcPr>
          <w:p w14:paraId="41D0EB5E">
            <w:r>
              <w:t>提供统一玩具模型，保证定义、判据和回退机制可在同一演示场上实际计算。</w:t>
            </w:r>
          </w:p>
        </w:tc>
      </w:tr>
      <w:tr w14:paraId="604A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65F1FEB1">
            <w:pPr>
              <w:jc w:val="center"/>
            </w:pPr>
            <w:r>
              <w:t>第3章 稳定激发与有效粒子态</w:t>
            </w:r>
          </w:p>
        </w:tc>
        <w:tc>
          <w:tcPr>
            <w:tcW w:w="6123" w:type="dxa"/>
            <w:vAlign w:val="center"/>
          </w:tcPr>
          <w:p w14:paraId="26F2A8F8">
            <w:r>
              <w:t>讨论什么样的离散结构可在低能区被读作稳定态、粒子态或物体态。</w:t>
            </w:r>
          </w:p>
        </w:tc>
      </w:tr>
      <w:tr w14:paraId="0240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51101488">
            <w:pPr>
              <w:jc w:val="center"/>
            </w:pPr>
            <w:r>
              <w:t>第4章 传播与响应的最小构造</w:t>
            </w:r>
          </w:p>
        </w:tc>
        <w:tc>
          <w:tcPr>
            <w:tcW w:w="6123" w:type="dxa"/>
            <w:vAlign w:val="center"/>
          </w:tcPr>
          <w:p w14:paraId="39B73B45">
            <w:r>
              <w:t>传播按“纵向推进 + 横向展开”的双轴结构构造，并区分传播响应与自发重排。</w:t>
            </w:r>
          </w:p>
        </w:tc>
      </w:tr>
      <w:tr w14:paraId="78C4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167E4017">
            <w:pPr>
              <w:jc w:val="center"/>
            </w:pPr>
            <w:r>
              <w:t>第5章 外部有效几何与被动引力耦合</w:t>
            </w:r>
          </w:p>
        </w:tc>
        <w:tc>
          <w:tcPr>
            <w:tcW w:w="6123" w:type="dxa"/>
            <w:vAlign w:val="center"/>
          </w:tcPr>
          <w:p w14:paraId="0A94ACF9">
            <w:r>
              <w:t>定义外部有效几何接口，读出被动引力质量候选。</w:t>
            </w:r>
          </w:p>
        </w:tc>
      </w:tr>
      <w:tr w14:paraId="15F3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847ED19">
            <w:pPr>
              <w:jc w:val="center"/>
            </w:pPr>
            <w:r>
              <w:t>第6章 守恒、通量、源项与边界荷</w:t>
            </w:r>
          </w:p>
        </w:tc>
        <w:tc>
          <w:tcPr>
            <w:tcW w:w="6123" w:type="dxa"/>
            <w:vAlign w:val="center"/>
          </w:tcPr>
          <w:p w14:paraId="5FE17236">
            <w:r>
              <w:t>建立主动引力质量接口与守恒结构，强调加权通量与边界荷。</w:t>
            </w:r>
          </w:p>
        </w:tc>
      </w:tr>
      <w:tr w14:paraId="6F3F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24EBB23E">
            <w:pPr>
              <w:jc w:val="center"/>
            </w:pPr>
            <w:r>
              <w:t>第7章 几何—动力学—质量耦合原型</w:t>
            </w:r>
          </w:p>
        </w:tc>
        <w:tc>
          <w:tcPr>
            <w:tcW w:w="6123" w:type="dxa"/>
            <w:vAlign w:val="center"/>
          </w:tcPr>
          <w:p w14:paraId="6BC3D6C2">
            <w:r>
              <w:t>仅提出可检验的原型命题，并区分内部推导型与后验归纳型来源。</w:t>
            </w:r>
          </w:p>
        </w:tc>
      </w:tr>
      <w:tr w14:paraId="2624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6870C47">
            <w:pPr>
              <w:jc w:val="center"/>
            </w:pPr>
            <w:r>
              <w:t>第8章 弱场极限与等效性待证命题</w:t>
            </w:r>
          </w:p>
        </w:tc>
        <w:tc>
          <w:tcPr>
            <w:tcW w:w="6123" w:type="dxa"/>
            <w:vAlign w:val="center"/>
          </w:tcPr>
          <w:p w14:paraId="15DBEF22">
            <w:r>
              <w:t>把三种质量置于统一弱场框架中比较。</w:t>
            </w:r>
          </w:p>
        </w:tc>
      </w:tr>
      <w:tr w14:paraId="67F5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5AD0CE4">
            <w:pPr>
              <w:jc w:val="center"/>
            </w:pPr>
            <w:r>
              <w:t>第9章 连续极限前判据与变量升级表</w:t>
            </w:r>
          </w:p>
        </w:tc>
        <w:tc>
          <w:tcPr>
            <w:tcW w:w="6123" w:type="dxa"/>
            <w:vAlign w:val="center"/>
          </w:tcPr>
          <w:p w14:paraId="59688702">
            <w:r>
              <w:t>用硬指标区分“可直接升级 / 可修正升级 / 仅施工”三类变量。</w:t>
            </w:r>
          </w:p>
        </w:tc>
      </w:tr>
      <w:tr w14:paraId="2CBA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2BC1448F">
            <w:pPr>
              <w:jc w:val="center"/>
            </w:pPr>
            <w:r>
              <w:t>第10章 数值施工协议与验收表</w:t>
            </w:r>
          </w:p>
        </w:tc>
        <w:tc>
          <w:tcPr>
            <w:tcW w:w="6123" w:type="dxa"/>
            <w:vAlign w:val="center"/>
          </w:tcPr>
          <w:p w14:paraId="7D8E2832">
            <w:r>
              <w:t>将整编转化为可执行工地，纳入参数扫描、对照组、验收和回退。</w:t>
            </w:r>
          </w:p>
        </w:tc>
      </w:tr>
    </w:tbl>
    <w:p w14:paraId="098A36AB">
      <w:pPr>
        <w:pStyle w:val="3"/>
      </w:pPr>
      <w:r>
        <w:t>六、第四编的核心预备定义（重写版）</w:t>
      </w:r>
    </w:p>
    <w:p w14:paraId="1222669A">
      <w:pPr>
        <w:pStyle w:val="4"/>
      </w:pPr>
      <w:r>
        <w:t>定义 4.1：有效状态变量</w:t>
      </w:r>
    </w:p>
    <w:p w14:paraId="473AAA3C">
      <w:r>
        <w:t>在给定合法切片族、粗粒化尺度与既定读出规则的前提下，凡对局域结构演化具有稳定可读出、可比较、可重复统计解释的量，称为有效状态变量。</w:t>
      </w:r>
    </w:p>
    <w:p w14:paraId="41E5C6E3">
      <w:pPr>
        <w:pStyle w:val="4"/>
      </w:pPr>
      <w:r>
        <w:t>定义 4.2：传播前沿</w:t>
      </w:r>
    </w:p>
    <w:p w14:paraId="1308CB76">
      <w:r>
        <w:t>在给定第二编之因果序、合法切片族以及已选定的局域扰动读出规则的前提下，对某一局域扰动，其影响首次到达某类节点集合或某一切片区域的最小层级边界，称为传播前沿。</w:t>
      </w:r>
    </w:p>
    <w:p w14:paraId="64A657BF">
      <w:pPr>
        <w:pStyle w:val="4"/>
      </w:pPr>
      <w:r>
        <w:t>定义 4.3：离散响应函数</w:t>
      </w:r>
    </w:p>
    <w:p w14:paraId="1789F900">
      <w:r>
        <w:t>在给定因果序、合法切片族、邻域或距离代理以及既定观测读出规则的前提下，某观测量对一个初始局域扰动在切片序列上的变化映射，称为离散响应函数。</w:t>
      </w:r>
    </w:p>
    <w:p w14:paraId="15C6499F">
      <w:pPr>
        <w:pStyle w:val="4"/>
      </w:pPr>
      <w:r>
        <w:t>定义 4.4：切片通量</w:t>
      </w:r>
    </w:p>
    <w:p w14:paraId="7C2A313D">
      <w:r>
        <w:t>在给定因果序、相邻切片以及路径代价或体积增长权重规则的前提下，某有效量在相邻切片之间由因果边连接诱导的加权净传递量，称为切片通量。第四编原则上不采用纯拓扑边计数作为正式通量，而优先采用代价加权、体积加权或等价的结构加权通量定义。</w:t>
      </w:r>
    </w:p>
    <w:p w14:paraId="0173C437">
      <w:pPr>
        <w:pStyle w:val="4"/>
      </w:pPr>
      <w:r>
        <w:t>定义 4.5：残差项与稳定源项候选</w:t>
      </w:r>
    </w:p>
    <w:p w14:paraId="2F9C53CC">
      <w:r>
        <w:t>若某量的切片变化减去通量项与局域重排项后仍有剩余，则该剩余先称为残差项。只有当该残差项在切片变换、参数扰动与构型微扰下保持稳定，并能对应到底层可识别结构变化时，才可升级为稳定源项候选。</w:t>
      </w:r>
    </w:p>
    <w:p w14:paraId="76F5800B">
      <w:pPr>
        <w:pStyle w:val="4"/>
      </w:pPr>
      <w:r>
        <w:t>定义 4.6：变量升级资格</w:t>
      </w:r>
    </w:p>
    <w:p w14:paraId="77F88CF3">
      <w:r>
        <w:t>若某离散量在多尺度、多切片、多样本上同时满足稳定性、可比性与可解释性，并通过第9章规定的定量阈值检验，则具备进入连续极限讨论的升级资格。</w:t>
      </w:r>
    </w:p>
    <w:p w14:paraId="7218FF3A">
      <w:pPr>
        <w:pStyle w:val="3"/>
      </w:pPr>
      <w:r>
        <w:t>七、第四编必须面对的核心难点（重写版）</w:t>
      </w:r>
    </w:p>
    <w:p w14:paraId="3E122D48">
      <w:pPr>
        <w:pStyle w:val="16"/>
      </w:pPr>
      <w:r>
        <w:t>难点1：切片依赖问题。许多量可能高度依赖切片方式。建议预备工具包括“切片协变变化率”或李导数 analogue 的初步算子，用于衡量变量沿因果流方向改变切片时的变化是否有界；若变化率无界，则不得升级为主变量。</w:t>
      </w:r>
    </w:p>
    <w:p w14:paraId="754FBA25">
      <w:pPr>
        <w:pStyle w:val="16"/>
      </w:pPr>
      <w:r>
        <w:t>难点2：传播与重排的区分问题。建议引入因果关联强度、条件相关度、离散互信息型指标，并结合第二编因果锥约束与切片微扰下稳定性检验。</w:t>
      </w:r>
    </w:p>
    <w:p w14:paraId="6DB7B3AE">
      <w:pPr>
        <w:pStyle w:val="16"/>
      </w:pPr>
      <w:r>
        <w:t>难点3：守恒概念的偷运问题。必须从切片间净变化、加权通量、重排项、残差项与边界荷重新定义。</w:t>
      </w:r>
    </w:p>
    <w:p w14:paraId="20C0086D">
      <w:pPr>
        <w:pStyle w:val="16"/>
      </w:pPr>
      <w:r>
        <w:t>难点4：曲率解释过度问题。曲率代理是接口量，不自动等于真实引力曲率。</w:t>
      </w:r>
    </w:p>
    <w:p w14:paraId="548B609A">
      <w:pPr>
        <w:pStyle w:val="16"/>
      </w:pPr>
      <w:r>
        <w:t>难点5：连续极限的假阳性问题。必须引入升级资格与失败样例双重审查。</w:t>
      </w:r>
    </w:p>
    <w:p w14:paraId="5579EE1D">
      <w:pPr>
        <w:pStyle w:val="16"/>
      </w:pPr>
      <w:r>
        <w:t>难点6：质量三分接口的层级误置问题。第四编第一章必须被严格定位为接口章 / 预备章，而不是终局证明章。</w:t>
      </w:r>
    </w:p>
    <w:p w14:paraId="0A059083">
      <w:pPr>
        <w:pStyle w:val="3"/>
      </w:pPr>
      <w:r>
        <w:t>八、第四编的裁决型验收标准（重写版）</w:t>
      </w:r>
    </w:p>
    <w:p w14:paraId="16A91B99">
      <w:pPr>
        <w:pStyle w:val="16"/>
      </w:pPr>
      <w:r>
        <w:t>验收1：变量谱系表闭合。</w:t>
      </w:r>
    </w:p>
    <w:p w14:paraId="4656EA6A">
      <w:pPr>
        <w:pStyle w:val="16"/>
      </w:pPr>
      <w:r>
        <w:t>验收2：质量接口定义闭合，明确“已定义 / 待证 / 待检验”的层级。</w:t>
      </w:r>
    </w:p>
    <w:p w14:paraId="544ACDF9">
      <w:pPr>
        <w:pStyle w:val="16"/>
      </w:pPr>
      <w:r>
        <w:t>验收3：最小示例可跑通。</w:t>
      </w:r>
    </w:p>
    <w:p w14:paraId="0C748E5B">
      <w:pPr>
        <w:pStyle w:val="16"/>
      </w:pPr>
      <w:r>
        <w:t>验收4：传播定义闭合，并能区分传播响应与自发重排。</w:t>
      </w:r>
    </w:p>
    <w:p w14:paraId="1EFC75F9">
      <w:pPr>
        <w:pStyle w:val="16"/>
      </w:pPr>
      <w:r>
        <w:t>验收5：守恒框架闭合，至少给出一种“净变化—加权通量—重排项—残差项 / 稳定源项候选”的分解方案。</w:t>
      </w:r>
    </w:p>
    <w:p w14:paraId="46AF8CB5">
      <w:pPr>
        <w:pStyle w:val="16"/>
      </w:pPr>
      <w:r>
        <w:t>验收6：耦合原型可检验。</w:t>
      </w:r>
    </w:p>
    <w:p w14:paraId="36F482AE">
      <w:pPr>
        <w:pStyle w:val="16"/>
      </w:pPr>
      <w:r>
        <w:t>验收7：升级表与回退机制形成。</w:t>
      </w:r>
    </w:p>
    <w:p w14:paraId="7A4000BF">
      <w:pPr>
        <w:pStyle w:val="3"/>
      </w:pPr>
      <w:r>
        <w:t>九、建议的写作口径</w:t>
      </w:r>
    </w:p>
    <w:p w14:paraId="3A60549C">
      <w:pPr>
        <w:pStyle w:val="16"/>
      </w:pPr>
      <w:r>
        <w:t>多用“构造”“候选”“原型”“预备定义”“接口”“升级资格”。</w:t>
      </w:r>
    </w:p>
    <w:p w14:paraId="65043593">
      <w:pPr>
        <w:pStyle w:val="16"/>
      </w:pPr>
      <w:r>
        <w:t>少用“已证明”“唯一正确”“严格等价于”。</w:t>
      </w:r>
    </w:p>
    <w:p w14:paraId="624A6B72">
      <w:pPr>
        <w:pStyle w:val="16"/>
      </w:pPr>
      <w:r>
        <w:t>先给依赖，再给定义；先给构造，再给命题，再给数值协议，最后才谈物理解释。</w:t>
      </w:r>
    </w:p>
    <w:p w14:paraId="421C1118">
      <w:pPr>
        <w:pStyle w:val="16"/>
      </w:pPr>
      <w:r>
        <w:t>先做最小闭环，不做过大承诺；在质量问题上坚持“接口先行、证明后置”。</w:t>
      </w:r>
    </w:p>
    <w:p w14:paraId="5755D929">
      <w:pPr>
        <w:pStyle w:val="3"/>
      </w:pPr>
      <w:r>
        <w:t>十、建议的附录体系</w:t>
      </w:r>
    </w:p>
    <w:p w14:paraId="4A8F5BBF">
      <w:pPr>
        <w:pStyle w:val="16"/>
      </w:pPr>
      <w:r>
        <w:t>附录 A：术语来源对照表。</w:t>
      </w:r>
    </w:p>
    <w:p w14:paraId="5351938A">
      <w:pPr>
        <w:pStyle w:val="16"/>
      </w:pPr>
      <w:r>
        <w:t>附录 B：变量字典。</w:t>
      </w:r>
    </w:p>
    <w:p w14:paraId="09EF03F1">
      <w:pPr>
        <w:pStyle w:val="16"/>
      </w:pPr>
      <w:r>
        <w:t>附录 C：最小示例手册。</w:t>
      </w:r>
    </w:p>
    <w:p w14:paraId="1DE4F0AA">
      <w:pPr>
        <w:pStyle w:val="16"/>
      </w:pPr>
      <w:r>
        <w:t>附录 D：数值实验样板。</w:t>
      </w:r>
    </w:p>
    <w:p w14:paraId="7F9562CF">
      <w:pPr>
        <w:pStyle w:val="16"/>
      </w:pPr>
      <w:r>
        <w:t>附录 E：失败样例库（需标明失效原因、受影响定义和回退动作）。</w:t>
      </w:r>
    </w:p>
    <w:p w14:paraId="2D2B5DCC">
      <w:pPr>
        <w:pStyle w:val="3"/>
      </w:pPr>
      <w:r>
        <w:t>十一、第四编的一句话总纲（重写版）</w:t>
      </w:r>
    </w:p>
    <w:p w14:paraId="1FE5C09E">
      <w:pPr>
        <w:shd w:val="clear" w:fill="F3F8FC"/>
        <w:spacing w:before="80" w:after="160"/>
        <w:ind w:left="454" w:right="454"/>
      </w:pPr>
      <w:r>
        <w:rPr>
          <w:i/>
        </w:rPr>
        <w:t>第四编的使命，不是直接推出最终物理方程，而是在无背景条件下，首先建立从离散几何到有效物理量的翻译入口，并以质量三分问题作为首个受控接口，使几何、传播、守恒、源项与弱场比较之间第一次形成可验证、可回退的最小闭环。</w:t>
      </w:r>
    </w:p>
    <w:p w14:paraId="42932DEF">
      <w:pPr>
        <w:pStyle w:val="3"/>
      </w:pPr>
      <w:r>
        <w:t>十二、可直接开写的顺序建议（重写版）</w:t>
      </w:r>
    </w:p>
    <w:p w14:paraId="4191C80C">
      <w:pPr>
        <w:pStyle w:val="14"/>
      </w:pPr>
      <w:r>
        <w:t>卷首总说明 / A0 层</w:t>
      </w:r>
    </w:p>
    <w:p w14:paraId="7E4FA309">
      <w:pPr>
        <w:pStyle w:val="14"/>
      </w:pPr>
      <w:r>
        <w:t>第1章 质量三分定义及其等效性问题的接口设定</w:t>
      </w:r>
    </w:p>
    <w:p w14:paraId="79B3F036">
      <w:pPr>
        <w:pStyle w:val="14"/>
      </w:pPr>
      <w:r>
        <w:t>第2章 有效状态变量的筛选原则</w:t>
      </w:r>
    </w:p>
    <w:p w14:paraId="12E8E0AF">
      <w:pPr>
        <w:pStyle w:val="14"/>
      </w:pPr>
      <w:r>
        <w:t>第2.5章 贯穿性最小示例</w:t>
      </w:r>
    </w:p>
    <w:p w14:paraId="0ED7D51F">
      <w:pPr>
        <w:pStyle w:val="14"/>
      </w:pPr>
      <w:r>
        <w:t>第3章 稳定激发与有效粒子态</w:t>
      </w:r>
    </w:p>
    <w:p w14:paraId="03FB94EC">
      <w:pPr>
        <w:pStyle w:val="14"/>
      </w:pPr>
      <w:r>
        <w:t>第4章 传播与响应的最小构造</w:t>
      </w:r>
    </w:p>
    <w:p w14:paraId="1A92A605">
      <w:pPr>
        <w:pStyle w:val="14"/>
      </w:pPr>
      <w:r>
        <w:t>第6章 守恒、通量、源项与边界荷</w:t>
      </w:r>
    </w:p>
    <w:p w14:paraId="5C2ED358">
      <w:pPr>
        <w:pStyle w:val="14"/>
      </w:pPr>
      <w:r>
        <w:t>第10章 数值施工协议与验收表</w:t>
      </w:r>
    </w:p>
    <w:p w14:paraId="3C4E2E32">
      <w:pPr>
        <w:pStyle w:val="14"/>
      </w:pPr>
      <w:r>
        <w:t>第5章 外部有效几何与被动引力耦合</w:t>
      </w:r>
    </w:p>
    <w:p w14:paraId="198D6DAC">
      <w:pPr>
        <w:pStyle w:val="14"/>
      </w:pPr>
      <w:r>
        <w:t>第7章 几何—动力学—质量耦合原型</w:t>
      </w:r>
    </w:p>
    <w:p w14:paraId="2D918215">
      <w:pPr>
        <w:pStyle w:val="14"/>
      </w:pPr>
      <w:r>
        <w:t>第8章 弱场极限与等效性待证命题</w:t>
      </w:r>
    </w:p>
    <w:p w14:paraId="6174ADC2">
      <w:pPr>
        <w:pStyle w:val="14"/>
      </w:pPr>
      <w:r>
        <w:t>第9章 连续极限前判据与变量升级表</w:t>
      </w:r>
    </w:p>
    <w:p w14:paraId="2F4A793D">
      <w:pPr>
        <w:pStyle w:val="14"/>
      </w:pPr>
      <w:r>
        <w:t>最后补附录</w:t>
      </w:r>
    </w:p>
    <w:p w14:paraId="77D87E88">
      <w:r>
        <w:br w:type="page"/>
      </w:r>
    </w:p>
    <w:p w14:paraId="7C4DBAAB">
      <w:pPr>
        <w:pStyle w:val="31"/>
        <w:jc w:val="left"/>
      </w:pPr>
      <w:r>
        <w:t>English Version</w:t>
      </w:r>
    </w:p>
    <w:p w14:paraId="78945CC7">
      <w:pPr>
        <w:pStyle w:val="3"/>
      </w:pPr>
      <w:r>
        <w:t>I. Repositioning of Volume IV</w:t>
      </w:r>
    </w:p>
    <w:p w14:paraId="08FE5E6B">
      <w:r>
        <w:t>In the rewritten architecture, Volume IV is no longer described merely as a preparatory layer for effective dynamics. It now has a more precise double mission: to promote the discrete geometric interface of Volume III into a variable layer usable in effective dynamical constructions; and to translate the structural objects of Volumes I–III into the first recognizable effective physical objects, with the threefold definition of mass and the equivalence problem serving as the first controlled interface.</w:t>
      </w:r>
    </w:p>
    <w:p w14:paraId="5B6E4F5F">
      <w:r>
        <w:t>Volume IV is therefore the transition volume from discrete structure to effective physical quantity, and the first bridge from the discrete geometric interface to the effective physical interface.</w:t>
      </w:r>
    </w:p>
    <w:p w14:paraId="53C5786B">
      <w:r>
        <w:t>It is neither the layer of final equations nor a rhetorical conclusion section. Its task is not to proclaim that general relativity, quantum field theory, or a unified theory has already been derived. Rather, it asks which earlier-volume objects can be upgraded into effective physical variables, which stable structures may be read as low-energy particle-like or source-like entities, from where inertial, passive gravitational, and active gravitational mass arise inside BiCFT, and whether these three notions can enter a common weak-field comparison framework under background independence.</w:t>
      </w:r>
    </w:p>
    <w:p w14:paraId="05353D94">
      <w:pPr>
        <w:pStyle w:val="3"/>
      </w:pPr>
      <w:r>
        <w:t>II. Relation to Volumes I–III</w:t>
      </w:r>
    </w:p>
    <w:p w14:paraId="36752509">
      <w:r>
        <w:t>Volume I provides the mother dynamics, axioms, legal objects, red lines, and rollback mechanism. Volume IV remains fully subordinate to those constraints: no presupposed continuous manifold, no external time parameter as an ontic primitive, no smuggled classical metric or connection, no analogy to known theories in place of formal construction, and no continuous quantity except as an a posteriori coarse-grained or effective readout.</w:t>
      </w:r>
    </w:p>
    <w:p w14:paraId="1CB7DE17">
      <w:r>
        <w:t>Volume II establishes the passage from update order to causal order, and from causal order to temporal characterization and spatial slicing. Therefore propagation, response, velocity, flux, conservation, and source terms in Volume IV must all be grounded in the causal and slicing structures of Volume II.</w:t>
      </w:r>
    </w:p>
    <w:p w14:paraId="4DA652E8">
      <w:r>
        <w:t>Volume III provides the discrete geometric interface: path cost, distance proxies, volume growth, curvature proxies, boundary structure, slicing geometry, and local neighborhoods. Volume IV does not redo Volume III. It asks which geometric quantities are merely diagnostic and which can be promoted into dynamical or physical-interface variables; which can enter the mass problem, couplings, source terms, and weak-field comparison; and which possess promotion eligibility toward later continuum discussion.</w:t>
      </w:r>
    </w:p>
    <w:p w14:paraId="1F098F1E">
      <w:pPr>
        <w:pStyle w:val="3"/>
      </w:pPr>
      <w:r>
        <w:t>III. Global Mission of Volume IV</w:t>
      </w:r>
    </w:p>
    <w:p w14:paraId="41982397">
      <w:r>
        <w:t>Under background independence, Volume IV translates the discrete structures of the first three volumes into the first effective physical objects, and establishes minimal verifiable interfaces for the mass problem, propagation, conservation, source structure, and weak-field comparison.</w:t>
      </w:r>
    </w:p>
    <w:p w14:paraId="68EC6CFC">
      <w:r>
        <w:t>This mission decomposes into seven tasks: identify effective state variables; construct a cross-cutting minimal example; define the threefold mass interface; build a propagation–response discrimination framework; build a conservation–flux–source framework; propose geometry–dynamics–mass coupling prototypes; and provide pre-continuum criteria together with executable numerical protocols.</w:t>
      </w:r>
    </w:p>
    <w:p w14:paraId="0EF1E7D3">
      <w:pPr>
        <w:pStyle w:val="3"/>
      </w:pPr>
      <w:r>
        <w:t>IV. Non-goals</w:t>
      </w:r>
    </w:p>
    <w:p w14:paraId="0473BFA1">
      <w:r>
        <w:t>To prevent overreach, Volume IV explicitly does not directly derive the Einstein equations, the Schrödinger equation, or the Dirac equation; does not identify every discrete propagation pattern with a real particle; does not identify any curvature proxy as the unique discrete counterpart of Riemannian curvature; does not classify the full matter spectrum and all interactions; does not confuse numerical similarity with theoretical equivalence; does not turn the mass-interface chapter into a final proof chapter; and does not promote any candidate quantity to a continuous physical object before slice stability, scale stability, and statistical robustness are checked.</w:t>
      </w:r>
    </w:p>
    <w:p w14:paraId="61099F82">
      <w:pPr>
        <w:pStyle w:val="3"/>
      </w:pPr>
      <w:r>
        <w:t>V. Rewritten Chapter Structure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1769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tcPr>
          <w:p w14:paraId="75F3BB30">
            <w:pPr>
              <w:jc w:val="center"/>
            </w:pPr>
            <w:r>
              <w:rPr>
                <w:b/>
              </w:rPr>
              <w:t>Chapter</w:t>
            </w:r>
          </w:p>
        </w:tc>
        <w:tc>
          <w:tcPr>
            <w:tcW w:w="4759" w:type="dxa"/>
            <w:shd w:val="clear" w:color="auto" w:fill="D9EAF7"/>
          </w:tcPr>
          <w:p w14:paraId="3BF052AA">
            <w:pPr>
              <w:jc w:val="center"/>
            </w:pPr>
            <w:r>
              <w:rPr>
                <w:b/>
              </w:rPr>
              <w:t>Function</w:t>
            </w:r>
          </w:p>
        </w:tc>
      </w:tr>
      <w:tr w14:paraId="1B269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40B251F3">
            <w:pPr>
              <w:jc w:val="center"/>
            </w:pPr>
            <w:r>
              <w:t>Front Matter / A0</w:t>
            </w:r>
          </w:p>
        </w:tc>
        <w:tc>
          <w:tcPr>
            <w:tcW w:w="4759" w:type="dxa"/>
            <w:vAlign w:val="center"/>
          </w:tcPr>
          <w:p w14:paraId="0AB03A8D">
            <w:r>
              <w:t>Fix candidate-variable tables, the two-axis propagation scheme, candidate definitions of total quantity and flux, the distinction between residual term and stable source-term candidate, earlier-volume patch gates, and the symptom–diagnosis–rollback table.</w:t>
            </w:r>
          </w:p>
        </w:tc>
      </w:tr>
      <w:tr w14:paraId="157B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F04B944">
            <w:pPr>
              <w:jc w:val="center"/>
            </w:pPr>
            <w:r>
              <w:t>Chapter 1</w:t>
            </w:r>
          </w:p>
        </w:tc>
        <w:tc>
          <w:tcPr>
            <w:tcW w:w="4759" w:type="dxa"/>
            <w:vAlign w:val="center"/>
          </w:tcPr>
          <w:p w14:paraId="4A0EE032">
            <w:r>
              <w:t>Interface setup for the threefold definition of mass and the equivalence problem.</w:t>
            </w:r>
          </w:p>
        </w:tc>
      </w:tr>
      <w:tr w14:paraId="6BE8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57180853">
            <w:pPr>
              <w:jc w:val="center"/>
            </w:pPr>
            <w:r>
              <w:t>Chapter 2</w:t>
            </w:r>
          </w:p>
        </w:tc>
        <w:tc>
          <w:tcPr>
            <w:tcW w:w="4759" w:type="dxa"/>
            <w:vAlign w:val="center"/>
          </w:tcPr>
          <w:p w14:paraId="647CBEB9">
            <w:r>
              <w:t>Selection principles for effective state variables.</w:t>
            </w:r>
          </w:p>
        </w:tc>
      </w:tr>
      <w:tr w14:paraId="02F7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5F556DDA">
            <w:pPr>
              <w:jc w:val="center"/>
            </w:pPr>
            <w:r>
              <w:t>Chapter 2.5</w:t>
            </w:r>
          </w:p>
        </w:tc>
        <w:tc>
          <w:tcPr>
            <w:tcW w:w="4759" w:type="dxa"/>
            <w:vAlign w:val="center"/>
          </w:tcPr>
          <w:p w14:paraId="3FA89C96">
            <w:r>
              <w:t>A cross-cutting minimal example.</w:t>
            </w:r>
          </w:p>
        </w:tc>
      </w:tr>
      <w:tr w14:paraId="0F1E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660A209F">
            <w:pPr>
              <w:jc w:val="center"/>
            </w:pPr>
            <w:r>
              <w:t>Chapter 3</w:t>
            </w:r>
          </w:p>
        </w:tc>
        <w:tc>
          <w:tcPr>
            <w:tcW w:w="4759" w:type="dxa"/>
            <w:vAlign w:val="center"/>
          </w:tcPr>
          <w:p w14:paraId="35BA3F12">
            <w:r>
              <w:t>Stable excitations and effective particle-like states.</w:t>
            </w:r>
          </w:p>
        </w:tc>
      </w:tr>
      <w:tr w14:paraId="2DFE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19632846">
            <w:pPr>
              <w:jc w:val="center"/>
            </w:pPr>
            <w:r>
              <w:t>Chapter 4</w:t>
            </w:r>
          </w:p>
        </w:tc>
        <w:tc>
          <w:tcPr>
            <w:tcW w:w="4759" w:type="dxa"/>
            <w:vAlign w:val="center"/>
          </w:tcPr>
          <w:p w14:paraId="1088684E">
            <w:r>
              <w:t>Minimal construction of propagation and response.</w:t>
            </w:r>
          </w:p>
        </w:tc>
      </w:tr>
      <w:tr w14:paraId="0F26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785F5B8F">
            <w:pPr>
              <w:jc w:val="center"/>
            </w:pPr>
            <w:r>
              <w:t>Chapter 5</w:t>
            </w:r>
          </w:p>
        </w:tc>
        <w:tc>
          <w:tcPr>
            <w:tcW w:w="4759" w:type="dxa"/>
            <w:vAlign w:val="center"/>
          </w:tcPr>
          <w:p w14:paraId="04AB1D19">
            <w:r>
              <w:t>Effective external geometry and passive gravitational coupling.</w:t>
            </w:r>
          </w:p>
        </w:tc>
      </w:tr>
      <w:tr w14:paraId="34BC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33FBD149">
            <w:pPr>
              <w:jc w:val="center"/>
            </w:pPr>
            <w:r>
              <w:t>Chapter 6</w:t>
            </w:r>
          </w:p>
        </w:tc>
        <w:tc>
          <w:tcPr>
            <w:tcW w:w="4759" w:type="dxa"/>
            <w:vAlign w:val="center"/>
          </w:tcPr>
          <w:p w14:paraId="5743BCDF">
            <w:r>
              <w:t>Conservation, flux, source terms, and boundary charges.</w:t>
            </w:r>
          </w:p>
        </w:tc>
      </w:tr>
      <w:tr w14:paraId="7D7E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90132C6">
            <w:pPr>
              <w:jc w:val="center"/>
            </w:pPr>
            <w:r>
              <w:t>Chapter 7</w:t>
            </w:r>
          </w:p>
        </w:tc>
        <w:tc>
          <w:tcPr>
            <w:tcW w:w="4759" w:type="dxa"/>
            <w:vAlign w:val="center"/>
          </w:tcPr>
          <w:p w14:paraId="36CA4F92">
            <w:r>
              <w:t>Prototype geometry–dynamics–mass couplings.</w:t>
            </w:r>
          </w:p>
        </w:tc>
      </w:tr>
      <w:tr w14:paraId="2CB3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3B3EAF65">
            <w:pPr>
              <w:jc w:val="center"/>
            </w:pPr>
            <w:r>
              <w:t>Chapter 8</w:t>
            </w:r>
          </w:p>
        </w:tc>
        <w:tc>
          <w:tcPr>
            <w:tcW w:w="4759" w:type="dxa"/>
            <w:vAlign w:val="center"/>
          </w:tcPr>
          <w:p w14:paraId="040D16DD">
            <w:r>
              <w:t>Weak-field limit and the equivalence proposition to be tested later.</w:t>
            </w:r>
          </w:p>
        </w:tc>
      </w:tr>
      <w:tr w14:paraId="6CEE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F9545A1">
            <w:pPr>
              <w:jc w:val="center"/>
            </w:pPr>
            <w:r>
              <w:t>Chapter 9</w:t>
            </w:r>
          </w:p>
        </w:tc>
        <w:tc>
          <w:tcPr>
            <w:tcW w:w="4759" w:type="dxa"/>
            <w:vAlign w:val="center"/>
          </w:tcPr>
          <w:p w14:paraId="0777E63E">
            <w:r>
              <w:t>Pre-continuum criteria and variable promotion table.</w:t>
            </w:r>
          </w:p>
        </w:tc>
      </w:tr>
      <w:tr w14:paraId="4EBCF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1A7C74E1">
            <w:pPr>
              <w:jc w:val="center"/>
            </w:pPr>
            <w:r>
              <w:t>Chapter 10</w:t>
            </w:r>
          </w:p>
        </w:tc>
        <w:tc>
          <w:tcPr>
            <w:tcW w:w="4759" w:type="dxa"/>
            <w:vAlign w:val="center"/>
          </w:tcPr>
          <w:p w14:paraId="1B40D481">
            <w:r>
              <w:t>Numerical construction protocols and acceptance tables.</w:t>
            </w:r>
          </w:p>
        </w:tc>
      </w:tr>
    </w:tbl>
    <w:p w14:paraId="3B2B624D">
      <w:pPr>
        <w:pStyle w:val="3"/>
      </w:pPr>
      <w:r>
        <w:t>VI. Core Preparatory Definitions (Rewritten)</w:t>
      </w:r>
    </w:p>
    <w:p w14:paraId="4215DB67">
      <w:pPr>
        <w:pStyle w:val="16"/>
      </w:pPr>
      <w:r>
        <w:t>Effective state variable: a quantity that is stably readable, comparable, and repeatedly interpretable under a legal slicing family, coarse-graining scale, and readout rule.</w:t>
      </w:r>
    </w:p>
    <w:p w14:paraId="3E8C2DFF">
      <w:pPr>
        <w:pStyle w:val="16"/>
      </w:pPr>
      <w:r>
        <w:t>Propagation front: the earliest layer boundary at which the effect of a local perturbation reaches a designated node class or slice region, given the causal order and slicing family.</w:t>
      </w:r>
    </w:p>
    <w:p w14:paraId="5BECA8C6">
      <w:pPr>
        <w:pStyle w:val="16"/>
      </w:pPr>
      <w:r>
        <w:t>Discrete response function: the change map of an observable along a slice sequence with respect to a localized initial perturbation, given the causal order, slicing family, neighborhood or distance proxy, and readout rule.</w:t>
      </w:r>
    </w:p>
    <w:p w14:paraId="2980993D">
      <w:pPr>
        <w:pStyle w:val="16"/>
      </w:pPr>
      <w:r>
        <w:t>Slice flux: the weighted net transfer of an effective quantity between adjacent slices, induced by causal edges under a path-cost or volume-growth weighting rule.</w:t>
      </w:r>
    </w:p>
    <w:p w14:paraId="540B67EF">
      <w:pPr>
        <w:pStyle w:val="16"/>
      </w:pPr>
      <w:r>
        <w:t>Residual term / stable source-term candidate: after subtracting flux and local rearrangement from the net change, the remainder is first a residual term; only stable residuals linked to identifiable lower-level structural changes may be promoted to stable source-term candidates.</w:t>
      </w:r>
    </w:p>
    <w:p w14:paraId="776089CE">
      <w:pPr>
        <w:pStyle w:val="16"/>
      </w:pPr>
      <w:r>
        <w:t>Promotion eligibility: a discrete quantity is eligible for continuum-level discussion only if it satisfies multi-scale, multi-slice, and multi-sample tests together with quantitative threshold checks.</w:t>
      </w:r>
    </w:p>
    <w:p w14:paraId="71B8828B">
      <w:pPr>
        <w:pStyle w:val="3"/>
      </w:pPr>
      <w:r>
        <w:t>VII. Core Difficulties to Be Faced (Rewritten)</w:t>
      </w:r>
    </w:p>
    <w:p w14:paraId="7FF871A2">
      <w:pPr>
        <w:pStyle w:val="16"/>
      </w:pPr>
      <w:r>
        <w:t>Slice dependence.</w:t>
      </w:r>
    </w:p>
    <w:p w14:paraId="0316D639">
      <w:pPr>
        <w:pStyle w:val="16"/>
      </w:pPr>
      <w:r>
        <w:t>Distinguishing propagation from spontaneous rearrangement.</w:t>
      </w:r>
    </w:p>
    <w:p w14:paraId="14DF1617">
      <w:pPr>
        <w:pStyle w:val="16"/>
      </w:pPr>
      <w:r>
        <w:t>The danger of smuggling in continuum conservation laws.</w:t>
      </w:r>
    </w:p>
    <w:p w14:paraId="417D8863">
      <w:pPr>
        <w:pStyle w:val="16"/>
      </w:pPr>
      <w:r>
        <w:t>Over-interpretation of curvature proxies.</w:t>
      </w:r>
    </w:p>
    <w:p w14:paraId="16271924">
      <w:pPr>
        <w:pStyle w:val="16"/>
      </w:pPr>
      <w:r>
        <w:t>False positives in apparent continuum behavior.</w:t>
      </w:r>
    </w:p>
    <w:p w14:paraId="16DEA28C">
      <w:pPr>
        <w:pStyle w:val="16"/>
      </w:pPr>
      <w:r>
        <w:t>Misplacing the logical level of the threefold mass interface.</w:t>
      </w:r>
    </w:p>
    <w:p w14:paraId="67AFE8DD">
      <w:pPr>
        <w:pStyle w:val="3"/>
      </w:pPr>
      <w:r>
        <w:t>VIII. Adjudicable Acceptance Criteria (Rewritten)</w:t>
      </w:r>
    </w:p>
    <w:p w14:paraId="2CC3C2AD">
      <w:pPr>
        <w:pStyle w:val="16"/>
      </w:pPr>
      <w:r>
        <w:t>A closed variable-genealogy table is formed.</w:t>
      </w:r>
    </w:p>
    <w:p w14:paraId="167CE940">
      <w:pPr>
        <w:pStyle w:val="16"/>
      </w:pPr>
      <w:r>
        <w:t>The threefold mass interface is clearly defined with status labels such as defined / to be proved / to be tested.</w:t>
      </w:r>
    </w:p>
    <w:p w14:paraId="384A4A03">
      <w:pPr>
        <w:pStyle w:val="16"/>
      </w:pPr>
      <w:r>
        <w:t>At least one cross-cutting minimal example runs through the main definitions.</w:t>
      </w:r>
    </w:p>
    <w:p w14:paraId="05AFC5B7">
      <w:pPr>
        <w:pStyle w:val="16"/>
      </w:pPr>
      <w:r>
        <w:t>At least one background-free propagation definition is operational and can distinguish propagation from rearrangement.</w:t>
      </w:r>
    </w:p>
    <w:p w14:paraId="59E62258">
      <w:pPr>
        <w:pStyle w:val="16"/>
      </w:pPr>
      <w:r>
        <w:t>At least one weighted conservation–flux–rearrangement–residual/source decomposition is operational.</w:t>
      </w:r>
    </w:p>
    <w:p w14:paraId="5D695998">
      <w:pPr>
        <w:pStyle w:val="16"/>
      </w:pPr>
      <w:r>
        <w:t>At least 2–3 geometry–dynamics–mass coupling propositions are testable.</w:t>
      </w:r>
    </w:p>
    <w:p w14:paraId="0095E730">
      <w:pPr>
        <w:pStyle w:val="16"/>
      </w:pPr>
      <w:r>
        <w:t>A promotion table and symptom–diagnosis–rollback mechanism are completed.</w:t>
      </w:r>
    </w:p>
    <w:p w14:paraId="0197053F">
      <w:pPr>
        <w:pStyle w:val="3"/>
      </w:pPr>
      <w:r>
        <w:t>IX. One-sentence Programmatic Summary (Rewritten)</w:t>
      </w:r>
    </w:p>
    <w:p w14:paraId="78F1D01C">
      <w:pPr>
        <w:shd w:val="clear" w:fill="F3F8FC"/>
        <w:ind w:left="454" w:right="454"/>
      </w:pPr>
      <w:r>
        <w:rPr>
          <w:i/>
        </w:rPr>
        <w:t>The mission of Volume IV is not to announce final physical equations, but to establish the first translation entrance from discrete geometry to effective physical quantities under background independence, with the threefold mass problem serving as the first controlled interface, so that geometry, propagation, conservation, source structure, and weak-field comparison form a first minimal loop that is testable and reversible.</w:t>
      </w:r>
    </w:p>
    <w:p w14:paraId="00449560">
      <w:pPr>
        <w:pStyle w:val="3"/>
      </w:pPr>
      <w:r>
        <w:t>X. Recommended Drafting Order (Rewritten)</w:t>
      </w:r>
    </w:p>
    <w:p w14:paraId="12339AAE">
      <w:pPr>
        <w:spacing w:after="60"/>
        <w:ind w:left="357" w:hanging="198"/>
      </w:pPr>
      <w:r>
        <w:t>1. front matter or A0 operational layer</w:t>
      </w:r>
    </w:p>
    <w:p w14:paraId="5E6134E1">
      <w:pPr>
        <w:spacing w:after="60"/>
        <w:ind w:left="357" w:hanging="198"/>
      </w:pPr>
      <w:r>
        <w:t>2. Chapter 1 on the threefold mass interface</w:t>
      </w:r>
    </w:p>
    <w:p w14:paraId="77E2AD3A">
      <w:pPr>
        <w:spacing w:after="60"/>
        <w:ind w:left="357" w:hanging="198"/>
      </w:pPr>
      <w:r>
        <w:t>3. Chapter 2 on effective state variables</w:t>
      </w:r>
    </w:p>
    <w:p w14:paraId="3B1AD636">
      <w:pPr>
        <w:spacing w:after="60"/>
        <w:ind w:left="357" w:hanging="198"/>
      </w:pPr>
      <w:r>
        <w:t>4. Chapter 2.5 minimal example</w:t>
      </w:r>
    </w:p>
    <w:p w14:paraId="53024CA4">
      <w:pPr>
        <w:spacing w:after="60"/>
        <w:ind w:left="357" w:hanging="198"/>
      </w:pPr>
      <w:r>
        <w:t>5. Chapter 3 on stable excitations</w:t>
      </w:r>
    </w:p>
    <w:p w14:paraId="2B8E14D5">
      <w:pPr>
        <w:spacing w:after="60"/>
        <w:ind w:left="357" w:hanging="198"/>
      </w:pPr>
      <w:r>
        <w:t>6. Chapter 4 on propagation and response</w:t>
      </w:r>
    </w:p>
    <w:p w14:paraId="168DC853">
      <w:pPr>
        <w:spacing w:after="60"/>
        <w:ind w:left="357" w:hanging="198"/>
      </w:pPr>
      <w:r>
        <w:t>7. Chapter 6 on conservation, flux, source terms, and boundary charges</w:t>
      </w:r>
    </w:p>
    <w:p w14:paraId="01F8BA42">
      <w:pPr>
        <w:spacing w:after="60"/>
        <w:ind w:left="357" w:hanging="198"/>
      </w:pPr>
      <w:r>
        <w:t>8. Chapter 10 numerical protocols and acceptance tables</w:t>
      </w:r>
    </w:p>
    <w:p w14:paraId="49D335C0">
      <w:pPr>
        <w:spacing w:after="60"/>
        <w:ind w:left="357" w:hanging="198"/>
      </w:pPr>
      <w:r>
        <w:t>9. Chapter 5 on effective external geometry and passive gravitational coupling</w:t>
      </w:r>
    </w:p>
    <w:p w14:paraId="4A7AC2DE">
      <w:pPr>
        <w:spacing w:after="60"/>
        <w:ind w:left="357" w:hanging="198"/>
      </w:pPr>
      <w:r>
        <w:t>10. Chapter 7 on coupling prototypes</w:t>
      </w:r>
    </w:p>
    <w:p w14:paraId="2D335973">
      <w:pPr>
        <w:spacing w:after="60"/>
        <w:ind w:left="357" w:hanging="198"/>
      </w:pPr>
      <w:r>
        <w:t>11. Chapter 8 on weak-field comparison and the equivalence proposition</w:t>
      </w:r>
    </w:p>
    <w:p w14:paraId="7AF0C627">
      <w:pPr>
        <w:spacing w:after="60"/>
        <w:ind w:left="357" w:hanging="198"/>
      </w:pPr>
      <w:r>
        <w:t>12. Chapter 9 on promotion criteria</w:t>
      </w:r>
    </w:p>
    <w:p w14:paraId="2A8C054F">
      <w:pPr>
        <w:spacing w:after="60"/>
        <w:ind w:left="357" w:hanging="198"/>
      </w:pPr>
      <w:r>
        <w:t>13. appendices last</w:t>
      </w:r>
    </w:p>
    <w:sectPr>
      <w:headerReference r:id="rId5" w:type="default"/>
      <w:footerReference r:id="rId6" w:type="default"/>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AF78E">
    <w:pPr>
      <w:pStyle w:val="24"/>
      <w:jc w:val="center"/>
    </w:pPr>
    <w:r>
      <w:rPr>
        <w:rFonts w:ascii="Times New Roman" w:hAnsi="Times New Roman" w:eastAsia="宋体"/>
        <w:color w:val="7F7F7F"/>
        <w:sz w:val="18"/>
      </w:rPr>
      <w:t>— 第四编预备稿（重写版） / Volume IV Preparatory Draft (Rewritten)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8CC9">
    <w:pPr>
      <w:pStyle w:val="25"/>
      <w:jc w:val="right"/>
    </w:pPr>
    <w:r>
      <w:rPr>
        <w:rFonts w:ascii="Cambria" w:hAnsi="Cambria" w:eastAsia="微软雅黑"/>
        <w:color w:val="7F7F7F"/>
        <w:sz w:val="18"/>
      </w:rPr>
      <w:t>BiCFT Volume IV — Rewritten Preparatory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F42F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200" w:after="120" w:line="276" w:lineRule="auto"/>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120" w:line="276" w:lineRule="auto"/>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120" w:line="276" w:lineRule="auto"/>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200" w:after="120" w:line="276" w:lineRule="auto"/>
    </w:pPr>
    <w:rPr>
      <w:rFonts w:asciiTheme="majorHAnsi" w:hAnsiTheme="majorHAnsi" w:eastAsiaTheme="majorEastAsia" w:cstheme="majorBidi"/>
      <w:b/>
      <w:i/>
      <w:iCs/>
      <w:color w:val="1F4E79"/>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200" w:after="120" w:line="276"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eta"/>
    <w:uiPriority w:val="0"/>
    <w:pPr>
      <w:spacing w:after="60" w:line="276" w:lineRule="auto"/>
    </w:pPr>
    <w:rPr>
      <w:rFonts w:ascii="Times New Roman" w:hAnsi="Times New Roman" w:eastAsia="宋体" w:cstheme="minorBidi"/>
      <w:color w:val="40404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4328</Words>
  <Characters>7691</Characters>
  <Lines>0</Lines>
  <Paragraphs>0</Paragraphs>
  <TotalTime>1</TotalTime>
  <ScaleCrop>false</ScaleCrop>
  <LinksUpToDate>false</LinksUpToDate>
  <CharactersWithSpaces>8373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wuqiming</cp:lastModifiedBy>
  <dcterms:modified xsi:type="dcterms:W3CDTF">2026-04-18T00:42:52Z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337B7F257EA3492EB87DB0A6D7CDEA1B_13</vt:lpwstr>
  </property>
</Properties>
</file>