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t>20260401一02无背景混沌场理论推导大纲</w:t>
      </w:r>
    </w:p>
    <w:p>
      <w:pPr>
        <w:pStyle w:val="SubtitleCN"/>
        <w:jc w:val="center"/>
      </w:pPr>
      <w:r>
        <w:t>双路线版 · 含弱版本判断标准、样板模型体系与阶段降级规则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/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CE6F1"/>
          </w:tcPr>
          <w:p>
            <w:r/>
            <w:r>
              <w:rPr>
                <w:b/>
              </w:rPr>
              <w:t>文档性质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BFD"/>
          </w:tcPr>
          <w:p>
            <w:r/>
            <w:r>
              <w:t>总纲级执行文档，面向后续推导、验证、论文拆分与阶段验收。</w:t>
            </w:r>
          </w:p>
        </w:tc>
      </w:tr>
      <w:tr>
        <w:trPr/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CE6F1"/>
          </w:tcPr>
          <w:p>
            <w:r/>
            <w:r>
              <w:rPr>
                <w:b/>
              </w:rPr>
              <w:t>版本定位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BFD"/>
          </w:tcPr>
          <w:p>
            <w:r/>
            <w:r>
              <w:t>在既有修订版基础上，正式并列写入终局路线与可执行路线，并把弱版本成果上升为项目判断标准。</w:t>
            </w:r>
          </w:p>
        </w:tc>
      </w:tr>
      <w:tr>
        <w:trPr/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CE6F1"/>
          </w:tcPr>
          <w:p>
            <w:r/>
            <w:r>
              <w:rPr>
                <w:b/>
              </w:rPr>
              <w:t>版本序号规则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BFD"/>
          </w:tcPr>
          <w:p>
            <w:r/>
            <w:r>
              <w:t>文件名统一采用“年月日一当日序号+标题”格式；本稿为 2026 年 4 月 1 日第 02 版。</w:t>
            </w:r>
          </w:p>
        </w:tc>
      </w:tr>
      <w:tr>
        <w:trPr/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CE6F1"/>
          </w:tcPr>
          <w:p>
            <w:r/>
            <w:r>
              <w:rPr>
                <w:b/>
              </w:rPr>
              <w:t>当前核心变化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9FBFD"/>
          </w:tcPr>
          <w:p>
            <w:r/>
            <w:r>
              <w:t>保留远期统一目标，同时把控制模型 A、主样板模型 B1、主样板模型 B2 纳入同一验证框架，并给出继续、观望、降级三类决策条件。</w:t>
            </w:r>
          </w:p>
        </w:tc>
      </w:tr>
    </w:tbl>
    <w:p/>
    <w:p>
      <w:pPr>
        <w:pStyle w:val="Callout"/>
        <w:shd w:fill="F3F7FB"/>
      </w:pPr>
      <w:r>
        <w:rPr>
          <w:b/>
        </w:rPr>
        <w:t>写作总原则：</w:t>
      </w:r>
      <w:r>
        <w:t>本大纲统一采用“已完成的框架性结论—当前可支持的命题与推论—尚待验证的核心猜想”三级表达。除非已完成严格推导，否则不使用“严格等价”“必然推出”“完全证明”等满格表述。</w:t>
      </w:r>
    </w:p>
    <w:p>
      <w:pPr>
        <w:pStyle w:val="Heading1"/>
      </w:pPr>
      <w:r>
        <w:t>一、项目总目标与双路线定位</w:t>
      </w:r>
    </w:p>
    <w:p>
      <w:pPr/>
      <w:r>
        <w:t>本项目的远期目标，是在“无背景、代数优先、几何涌现”的总立场下，建立一套能够从底层非交换混沌场出发，逐步导出几何、粒子谱、零模、内部结构与低能有效理论的统一框架。</w:t>
      </w:r>
    </w:p>
    <w:p>
      <w:pPr/>
      <w:r>
        <w:t>考虑到完整统一理论目标具有极长周期与极高不确定性，本稿将项目正式拆分为两条并行但层级不同的路线：终局路线与可执行路线。前者对应理论的最强版本，后者对应当前可以被计算、被校核、被阶段验收的弱版本。</w:t>
      </w:r>
    </w:p>
    <w:p>
      <w:pPr>
        <w:pStyle w:val="Heading2"/>
      </w:pPr>
      <w:r>
        <w:t>1.1 终局路线（强版本目标）</w:t>
      </w:r>
    </w:p>
    <w:p>
      <w:pPr>
        <w:ind w:left="312" w:hanging="255"/>
      </w:pPr>
      <w:r>
        <w:rPr>
          <w:b/>
        </w:rPr>
        <w:t xml:space="preserve">• </w:t>
      </w:r>
      <w:r>
        <w:t>从母理论出发，建立“代数到几何”的严格桥梁，并说明内部几何为何会被筛选到特定高维结构。</w:t>
      </w:r>
    </w:p>
    <w:p>
      <w:pPr>
        <w:ind w:left="312" w:hanging="255"/>
      </w:pPr>
      <w:r>
        <w:rPr>
          <w:b/>
        </w:rPr>
        <w:t xml:space="preserve">• </w:t>
      </w:r>
      <w:r>
        <w:t>把当前优选工作假设 4+6+3 写成具有充分动机、可比较且尽可能具备排他性的有效结构。</w:t>
      </w:r>
    </w:p>
    <w:p>
      <w:pPr>
        <w:ind w:left="312" w:hanging="255"/>
      </w:pPr>
      <w:r>
        <w:rPr>
          <w:b/>
        </w:rPr>
        <w:t xml:space="preserve">• </w:t>
      </w:r>
      <w:r>
        <w:t>将零模、粒子谱、统计性质、量子图景与宏观几何响应纳入同一底层母结构。</w:t>
      </w:r>
    </w:p>
    <w:p>
      <w:pPr>
        <w:pStyle w:val="Heading2"/>
      </w:pPr>
      <w:r>
        <w:t>1.2 可执行路线（弱版本目标）</w:t>
      </w:r>
    </w:p>
    <w:p>
      <w:pPr>
        <w:ind w:left="312" w:hanging="255"/>
      </w:pPr>
      <w:r>
        <w:rPr>
          <w:b/>
        </w:rPr>
        <w:t xml:space="preserve">• </w:t>
      </w:r>
      <w:r>
        <w:t>先不追求一步导出六维卡拉比–丘或完整统一图景，而是优先验证：某类无背景模型能否从非交换代数进入近对易区，并产生可识别的低维几何点云或几何相。</w:t>
      </w:r>
    </w:p>
    <w:p>
      <w:pPr>
        <w:ind w:left="312" w:hanging="255"/>
      </w:pPr>
      <w:r>
        <w:rPr>
          <w:b/>
        </w:rPr>
        <w:t xml:space="preserve">• </w:t>
      </w:r>
      <w:r>
        <w:t>将“样板模型是否稳定产出可复现实证结果”作为继续投入的首要判断标准。</w:t>
      </w:r>
    </w:p>
    <w:p>
      <w:pPr>
        <w:ind w:left="312" w:hanging="255"/>
      </w:pPr>
      <w:r>
        <w:rPr>
          <w:b/>
        </w:rPr>
        <w:t xml:space="preserve">• </w:t>
      </w:r>
      <w:r>
        <w:t>允许在阶段性失败后回退模型、降级结论、重写假设，而不是为了维持宏大叙事而跳过失败信号。</w:t>
      </w:r>
    </w:p>
    <w:p>
      <w:pPr>
        <w:pStyle w:val="Heading2"/>
      </w:pPr>
      <w:r>
        <w:t>1.3 弱版本成果的正式地位</w:t>
      </w:r>
    </w:p>
    <w:p>
      <w:pPr/>
      <w:r>
        <w:t>弱版本并不是“退而求其次的说法”，而是本项目当前最重要的判断层。只要可执行路线能够稳定完成以下任意两项，就意味着项目具有继续重投入的现实依据：</w:t>
      </w:r>
    </w:p>
    <w:p>
      <w:pPr>
        <w:ind w:left="624" w:hanging="255"/>
      </w:pPr>
      <w:r>
        <w:rPr>
          <w:b/>
        </w:rPr>
        <w:t xml:space="preserve">• </w:t>
      </w:r>
      <w:r>
        <w:t>在无背景主样板模型中出现稳健的近对易区与可重复的联合谱结构；</w:t>
      </w:r>
    </w:p>
    <w:p>
      <w:pPr>
        <w:ind w:left="624" w:hanging="255"/>
      </w:pPr>
      <w:r>
        <w:rPr>
          <w:b/>
        </w:rPr>
        <w:t xml:space="preserve">• </w:t>
      </w:r>
      <w:r>
        <w:t>点云或低能背景表现出稳定的低维几何特征，而非仅凭可视化“看起来像”；</w:t>
      </w:r>
    </w:p>
    <w:p>
      <w:pPr>
        <w:ind w:left="624" w:hanging="255"/>
      </w:pPr>
      <w:r>
        <w:rPr>
          <w:b/>
        </w:rPr>
        <w:t xml:space="preserve">• </w:t>
      </w:r>
      <w:r>
        <w:t>几何识别结果对初始化、参数微扰和数值算法具有一定稳健性；</w:t>
      </w:r>
    </w:p>
    <w:p>
      <w:pPr>
        <w:ind w:left="624" w:hanging="255"/>
      </w:pPr>
      <w:r>
        <w:rPr>
          <w:b/>
        </w:rPr>
        <w:t xml:space="preserve">• </w:t>
      </w:r>
      <w:r>
        <w:t>能够形成一篇不依赖终局统一叙事、单独也站得住的局部成果论文。</w:t>
      </w:r>
    </w:p>
    <w:p>
      <w:pPr>
        <w:pStyle w:val="Heading1"/>
      </w:pPr>
      <w:r>
        <w:t>二、项目判断标准：继续、观望与降级</w:t>
      </w:r>
    </w:p>
    <w:p>
      <w:pPr/>
      <w:r>
        <w:t>本项目不再以“是否一步完成终局统一”作为唯一成败标准，而采用分层判断制度。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fill="BDD7E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判断层级</w:t>
            </w:r>
          </w:p>
        </w:tc>
        <w:tc>
          <w:tcPr>
            <w:tcW w:type="dxa" w:w="2381"/>
            <w:shd w:fill="BDD7E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触发条件</w:t>
            </w:r>
          </w:p>
        </w:tc>
        <w:tc>
          <w:tcPr>
            <w:tcW w:type="dxa" w:w="2381"/>
            <w:shd w:fill="BDD7E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对应结论</w:t>
            </w:r>
          </w:p>
        </w:tc>
        <w:tc>
          <w:tcPr>
            <w:tcW w:type="dxa" w:w="2608"/>
            <w:shd w:fill="BDD7E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后续动作</w:t>
            </w:r>
          </w:p>
        </w:tc>
      </w:tr>
      <w:tr>
        <w:tc>
          <w:tcPr>
            <w:tcW w:type="dxa" w:w="1247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pPr>
              <w:jc w:val="center"/>
            </w:pPr>
            <w:r/>
            <w:r>
              <w:t>继续推进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r/>
            <w:r>
              <w:t>B1 或 B2 中至少一项稳定达到 2 项以上成功判据，且结果对初始化和参数扰动具有重复性。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r/>
            <w:r>
              <w:t>弱版本已成立，项目具备继续投入与论文拆分价值。</w:t>
            </w:r>
          </w:p>
        </w:tc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r/>
            <w:r>
              <w:t>扩大参数扫描；补充解析说明；推进到几何识别与有效作用量层。</w:t>
            </w:r>
          </w:p>
        </w:tc>
      </w:tr>
      <w:tr>
        <w:tc>
          <w:tcPr>
            <w:tcW w:type="dxa" w:w="1247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  <w:vAlign w:val="center"/>
          </w:tcPr>
          <w:p>
            <w:pPr>
              <w:jc w:val="center"/>
            </w:pPr>
            <w:r/>
            <w:r>
              <w:t>观望推进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  <w:vAlign w:val="center"/>
          </w:tcPr>
          <w:p>
            <w:r/>
            <w:r>
              <w:t>仅出现局部好结果，或结果高度依赖调参/初值，但仍显示某种非偶然结构。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  <w:vAlign w:val="center"/>
          </w:tcPr>
          <w:p>
            <w:r/>
            <w:r>
              <w:t>模型可能有效，但证据尚不足以支撑更强结论。</w:t>
            </w:r>
          </w:p>
        </w:tc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  <w:vAlign w:val="center"/>
          </w:tcPr>
          <w:p>
            <w:r/>
            <w:r>
              <w:t>增加对照组、加强失败诊断、限制结论语气，不进入终局叙事。</w:t>
            </w:r>
          </w:p>
        </w:tc>
      </w:tr>
      <w:tr>
        <w:tc>
          <w:tcPr>
            <w:tcW w:type="dxa" w:w="1247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pPr>
              <w:jc w:val="center"/>
            </w:pPr>
            <w:r/>
            <w:r>
              <w:t>降级/回退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r/>
            <w:r>
              <w:t>无稳定近对易区，或点云结构不稳健，或几何识别结果无法复现。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r/>
            <w:r>
              <w:t>当前主假设不足成立，不能再把桥梁层当作已建立事实。</w:t>
            </w:r>
          </w:p>
        </w:tc>
        <w:tc>
          <w:tcPr>
            <w:tcW w:type="dxa" w:w="2608"/>
            <w:tcMar>
              <w:top w:w="120" w:type="dxa"/>
              <w:start w:w="120" w:type="dxa"/>
              <w:bottom w:w="120" w:type="dxa"/>
              <w:end w:w="120" w:type="dxa"/>
            </w:tcMar>
            <w:shd w:fill="F9FBFD"/>
            <w:vAlign w:val="center"/>
          </w:tcPr>
          <w:p>
            <w:r/>
            <w:r>
              <w:t>回退到模型层重构；保留局部技术成果；暂停更高层结论扩张。</w:t>
            </w:r>
          </w:p>
        </w:tc>
      </w:tr>
    </w:tbl>
    <w:p/>
    <w:p>
      <w:pPr>
        <w:pStyle w:val="Callout"/>
        <w:shd w:fill="FFF2CC"/>
      </w:pPr>
      <w:r>
        <w:rPr>
          <w:b/>
        </w:rPr>
        <w:t>总风险 R1：</w:t>
      </w:r>
      <w:r>
        <w:t>“代数到几何”的桥梁仍是全项目首要科学风险。只要这一层没有在弱版本上获得首个可计算样板，十三维有效结构、零模与粒子谱部分都只能保持为工作假设或远期目标。</w:t>
      </w:r>
    </w:p>
    <w:p>
      <w:pPr>
        <w:pStyle w:val="Heading1"/>
      </w:pPr>
      <w:r>
        <w:t>三、总纲主线与六大部分结构</w:t>
      </w:r>
    </w:p>
    <w:p>
      <w:pPr/>
      <w:r>
        <w:t>修订后的主线固定为：母理论、无背景与公理化地基；代数到几何的涌现桥梁；十三维有效结构的建立；粒子谱、零模与统一图景；与现代理论框架的衔接；研究路线图与验证计划。</w:t>
      </w:r>
    </w:p>
    <w:p>
      <w:pPr/>
      <w:r>
        <w:t>下面每一部分都分别给出终局路线目标、可执行路线目标、关键检查点、阶段输出与风险边界。</w:t>
      </w:r>
    </w:p>
    <w:p>
      <w:pPr>
        <w:pStyle w:val="Heading2"/>
      </w:pPr>
      <w:r>
        <w:t>第一部分：母理论、无背景与公理化地基</w:t>
      </w:r>
    </w:p>
    <w:p>
      <w:pPr/>
      <w:r>
        <w:rPr>
          <w:b/>
        </w:rPr>
        <w:t>终局路线定位：</w:t>
      </w:r>
      <w:r>
        <w:t>建立唯一底层本体、母方程、真空与稳定性判据，为后续全部叙事提供不再倒置的起点。</w:t>
      </w:r>
    </w:p>
    <w:p>
      <w:pPr/>
      <w:r>
        <w:rPr>
          <w:b/>
        </w:rPr>
        <w:t>可执行路线任务：</w:t>
      </w:r>
      <w:r/>
    </w:p>
    <w:p>
      <w:pPr>
        <w:ind w:left="624" w:hanging="255"/>
      </w:pPr>
      <w:r>
        <w:rPr>
          <w:b/>
        </w:rPr>
        <w:t xml:space="preserve">• </w:t>
      </w:r>
      <w:r>
        <w:t>正式采用“无背景基元子混沌场理论（BICFT）”作为总称；</w:t>
      </w:r>
    </w:p>
    <w:p>
      <w:pPr>
        <w:ind w:left="624" w:hanging="255"/>
      </w:pPr>
      <w:r>
        <w:rPr>
          <w:b/>
        </w:rPr>
        <w:t xml:space="preserve">• </w:t>
      </w:r>
      <w:r>
        <w:t>明确不预设时空、粒子、弦、膜，只保留非交换底层自由度；</w:t>
      </w:r>
    </w:p>
    <w:p>
      <w:pPr>
        <w:ind w:left="624" w:hanging="255"/>
      </w:pPr>
      <w:r>
        <w:rPr>
          <w:b/>
        </w:rPr>
        <w:t xml:space="preserve">• </w:t>
      </w:r>
      <w:r>
        <w:t>给出母方程/母作用量的正式框架，并区分真空态、稳定态、准稳定态、传播激发与束缚激发。</w:t>
      </w:r>
    </w:p>
    <w:p>
      <w:pPr/>
      <w:r>
        <w:rPr>
          <w:b/>
        </w:rPr>
        <w:t>阶段输出：</w:t>
      </w:r>
      <w:r/>
    </w:p>
    <w:p>
      <w:pPr>
        <w:ind w:left="624" w:hanging="255"/>
      </w:pPr>
      <w:r>
        <w:rPr>
          <w:b/>
        </w:rPr>
        <w:t xml:space="preserve">• </w:t>
      </w:r>
      <w:r>
        <w:t>形成《BICFT母理论与公理化基础》主文稿；</w:t>
      </w:r>
    </w:p>
    <w:p>
      <w:pPr>
        <w:ind w:left="624" w:hanging="255"/>
      </w:pPr>
      <w:r>
        <w:rPr>
          <w:b/>
        </w:rPr>
        <w:t xml:space="preserve">• </w:t>
      </w:r>
      <w:r>
        <w:t>使后续所有章节均能回溯到同一母结构。</w:t>
      </w:r>
    </w:p>
    <w:p>
      <w:pPr/>
      <w:r>
        <w:rPr>
          <w:b/>
        </w:rPr>
        <w:t>当前风险边界：</w:t>
      </w:r>
      <w:r>
        <w:t>若母方程写得过宽，则会导致后续任何几何都能被“解释”，从而失去约束力。</w:t>
      </w:r>
    </w:p>
    <w:p>
      <w:pPr>
        <w:pStyle w:val="Heading2"/>
      </w:pPr>
      <w:r>
        <w:t>第二部分：代数到几何的涌现桥梁</w:t>
      </w:r>
    </w:p>
    <w:p>
      <w:pPr/>
      <w:r>
        <w:rPr>
          <w:b/>
        </w:rPr>
        <w:t>终局路线定位：</w:t>
      </w:r>
      <w:r>
        <w:t>说明为何从纯代数网络会长出几何，并把内部空间从“先验背景”改写为“低能几何相”。</w:t>
      </w:r>
    </w:p>
    <w:p>
      <w:pPr/>
      <w:r>
        <w:rPr>
          <w:b/>
        </w:rPr>
        <w:t>可执行路线任务：</w:t>
      </w:r>
      <w:r/>
    </w:p>
    <w:p>
      <w:pPr>
        <w:ind w:left="624" w:hanging="255"/>
      </w:pPr>
      <w:r>
        <w:rPr>
          <w:b/>
        </w:rPr>
        <w:t xml:space="preserve">• </w:t>
      </w:r>
      <w:r>
        <w:t>把场变量明确写成非交换算子或矩阵变量，而非先验坐标；</w:t>
      </w:r>
    </w:p>
    <w:p>
      <w:pPr>
        <w:ind w:left="624" w:hanging="255"/>
      </w:pPr>
      <w:r>
        <w:rPr>
          <w:b/>
        </w:rPr>
        <w:t xml:space="preserve">• </w:t>
      </w:r>
      <w:r>
        <w:t>建立真空弛豫、近对易、联合谱、模空间与几何识别之间的桥梁；</w:t>
      </w:r>
    </w:p>
    <w:p>
      <w:pPr>
        <w:ind w:left="624" w:hanging="255"/>
      </w:pPr>
      <w:r>
        <w:rPr>
          <w:b/>
        </w:rPr>
        <w:t xml:space="preserve">• </w:t>
      </w:r>
      <w:r>
        <w:t>区分 SU(3) structure、SU(3) holonomy 与 Calabi–Yau 条件；</w:t>
      </w:r>
    </w:p>
    <w:p>
      <w:pPr>
        <w:ind w:left="624" w:hanging="255"/>
      </w:pPr>
      <w:r>
        <w:rPr>
          <w:b/>
        </w:rPr>
        <w:t xml:space="preserve">• </w:t>
      </w:r>
      <w:r>
        <w:t>把丘成桐方程的出现写成低能极限解释，而非现成严格等价。</w:t>
      </w:r>
    </w:p>
    <w:p>
      <w:pPr/>
      <w:r>
        <w:rPr>
          <w:b/>
        </w:rPr>
        <w:t>阶段输出：</w:t>
      </w:r>
      <w:r/>
    </w:p>
    <w:p>
      <w:pPr>
        <w:ind w:left="624" w:hanging="255"/>
      </w:pPr>
      <w:r>
        <w:rPr>
          <w:b/>
        </w:rPr>
        <w:t xml:space="preserve">• </w:t>
      </w:r>
      <w:r>
        <w:t>形成《从非交换算子网络到内部几何的涌现》主文稿；</w:t>
      </w:r>
    </w:p>
    <w:p>
      <w:pPr>
        <w:ind w:left="624" w:hanging="255"/>
      </w:pPr>
      <w:r>
        <w:rPr>
          <w:b/>
        </w:rPr>
        <w:t xml:space="preserve">• </w:t>
      </w:r>
      <w:r>
        <w:t>把样板模型验证程序作为本部分的硬支撑。</w:t>
      </w:r>
    </w:p>
    <w:p>
      <w:pPr/>
      <w:r>
        <w:rPr>
          <w:b/>
        </w:rPr>
        <w:t>当前风险边界：</w:t>
      </w:r>
      <w:r>
        <w:t>若联合谱—模空间—几何链条无显式模型支撑，本部分不能被视为已建立。</w:t>
      </w:r>
    </w:p>
    <w:p>
      <w:pPr>
        <w:pStyle w:val="Heading2"/>
      </w:pPr>
      <w:r>
        <w:t>第三部分：十三维有效结构的建立</w:t>
      </w:r>
    </w:p>
    <w:p>
      <w:pPr/>
      <w:r>
        <w:rPr>
          <w:b/>
        </w:rPr>
        <w:t>终局路线定位：</w:t>
      </w:r>
      <w:r>
        <w:t>把 4+6+3 写成当前优选工作假设，而不是先验几何容器。</w:t>
      </w:r>
    </w:p>
    <w:p>
      <w:pPr/>
      <w:r>
        <w:rPr>
          <w:b/>
        </w:rPr>
        <w:t>可执行路线任务：</w:t>
      </w:r>
      <w:r/>
    </w:p>
    <w:p>
      <w:pPr>
        <w:ind w:left="624" w:hanging="255"/>
      </w:pPr>
      <w:r>
        <w:rPr>
          <w:b/>
        </w:rPr>
        <w:t xml:space="preserve">• </w:t>
      </w:r>
      <w:r>
        <w:t>解释四维外部时空、六维内部连续部分、三类离散内部参数的角色分工；</w:t>
      </w:r>
    </w:p>
    <w:p>
      <w:pPr>
        <w:ind w:left="624" w:hanging="255"/>
      </w:pPr>
      <w:r>
        <w:rPr>
          <w:b/>
        </w:rPr>
        <w:t xml:space="preserve">• </w:t>
      </w:r>
      <w:r>
        <w:t>说明其来自谱分层与低能有效结构，而非简单相加；</w:t>
      </w:r>
    </w:p>
    <w:p>
      <w:pPr>
        <w:ind w:left="624" w:hanging="255"/>
      </w:pPr>
      <w:r>
        <w:rPr>
          <w:b/>
        </w:rPr>
        <w:t xml:space="preserve">• </w:t>
      </w:r>
      <w:r>
        <w:t>补入“为何不是其他分层”的后续排除性论证任务。</w:t>
      </w:r>
    </w:p>
    <w:p>
      <w:pPr/>
      <w:r>
        <w:rPr>
          <w:b/>
        </w:rPr>
        <w:t>阶段输出：</w:t>
      </w:r>
      <w:r/>
    </w:p>
    <w:p>
      <w:pPr>
        <w:ind w:left="624" w:hanging="255"/>
      </w:pPr>
      <w:r>
        <w:rPr>
          <w:b/>
        </w:rPr>
        <w:t xml:space="preserve">• </w:t>
      </w:r>
      <w:r>
        <w:t>形成《十三维有效结构的导出》主文稿；</w:t>
      </w:r>
    </w:p>
    <w:p>
      <w:pPr>
        <w:ind w:left="624" w:hanging="255"/>
      </w:pPr>
      <w:r>
        <w:rPr>
          <w:b/>
        </w:rPr>
        <w:t xml:space="preserve">• </w:t>
      </w:r>
      <w:r>
        <w:t>明确 4+6+3 当前只具有优选地位，不具定理地位。</w:t>
      </w:r>
    </w:p>
    <w:p>
      <w:pPr/>
      <w:r>
        <w:rPr>
          <w:b/>
        </w:rPr>
        <w:t>当前风险边界：</w:t>
      </w:r>
      <w:r>
        <w:t>若 4+6+3 只停留在命名层面，则整体会被视为结果导向。</w:t>
      </w:r>
    </w:p>
    <w:p>
      <w:pPr>
        <w:pStyle w:val="Heading2"/>
      </w:pPr>
      <w:r>
        <w:t>第四部分：粒子谱、零模与统一图景</w:t>
      </w:r>
    </w:p>
    <w:p>
      <w:pPr/>
      <w:r>
        <w:rPr>
          <w:b/>
        </w:rPr>
        <w:t>终局路线定位：</w:t>
      </w:r>
      <w:r>
        <w:t>把费米子零模、玻色子传播模、全同性与统计性质纳入同一母理论的不同分化结果。</w:t>
      </w:r>
    </w:p>
    <w:p>
      <w:pPr/>
      <w:r>
        <w:rPr>
          <w:b/>
        </w:rPr>
        <w:t>可执行路线任务：</w:t>
      </w:r>
      <w:r/>
    </w:p>
    <w:p>
      <w:pPr>
        <w:ind w:left="624" w:hanging="255"/>
      </w:pPr>
      <w:r>
        <w:rPr>
          <w:b/>
        </w:rPr>
        <w:t xml:space="preserve">• </w:t>
      </w:r>
      <w:r>
        <w:t>建立费米子零模机制；</w:t>
      </w:r>
    </w:p>
    <w:p>
      <w:pPr>
        <w:ind w:left="624" w:hanging="255"/>
      </w:pPr>
      <w:r>
        <w:rPr>
          <w:b/>
        </w:rPr>
        <w:t xml:space="preserve">• </w:t>
      </w:r>
      <w:r>
        <w:t>建立玻色子传播模机制；</w:t>
      </w:r>
    </w:p>
    <w:p>
      <w:pPr>
        <w:ind w:left="624" w:hanging="255"/>
      </w:pPr>
      <w:r>
        <w:rPr>
          <w:b/>
        </w:rPr>
        <w:t xml:space="preserve">• </w:t>
      </w:r>
      <w:r>
        <w:t>整合已有的全同激发动力学涌现内容；</w:t>
      </w:r>
    </w:p>
    <w:p>
      <w:pPr>
        <w:ind w:left="624" w:hanging="255"/>
      </w:pPr>
      <w:r>
        <w:rPr>
          <w:b/>
        </w:rPr>
        <w:t xml:space="preserve">• </w:t>
      </w:r>
      <w:r>
        <w:t>将稳定性判据与内部结构清晰对接。</w:t>
      </w:r>
    </w:p>
    <w:p>
      <w:pPr/>
      <w:r>
        <w:rPr>
          <w:b/>
        </w:rPr>
        <w:t>阶段输出：</w:t>
      </w:r>
      <w:r/>
    </w:p>
    <w:p>
      <w:pPr>
        <w:ind w:left="624" w:hanging="255"/>
      </w:pPr>
      <w:r>
        <w:rPr>
          <w:b/>
        </w:rPr>
        <w:t xml:space="preserve">• </w:t>
      </w:r>
      <w:r>
        <w:t>形成《粒子谱、零模与稳定激发的统一导出》主文稿。</w:t>
      </w:r>
    </w:p>
    <w:p>
      <w:pPr/>
      <w:r>
        <w:rPr>
          <w:b/>
        </w:rPr>
        <w:t>当前风险边界：</w:t>
      </w:r>
      <w:r>
        <w:t>若零模机制只停留在口号层面，则本部分会成为整个框架最薄弱的物理环节。</w:t>
      </w:r>
    </w:p>
    <w:p>
      <w:pPr>
        <w:pStyle w:val="Heading2"/>
      </w:pPr>
      <w:r>
        <w:t>第五部分：与现代理论框架的衔接与提升</w:t>
      </w:r>
    </w:p>
    <w:p>
      <w:pPr/>
      <w:r>
        <w:rPr>
          <w:b/>
        </w:rPr>
        <w:t>终局路线定位：</w:t>
      </w:r>
      <w:r>
        <w:t>说明 BICFT 与量子力学、广义相对论、弦论、矩阵模型、非交换几何之间的继承、修正与提升关系。</w:t>
      </w:r>
    </w:p>
    <w:p>
      <w:pPr/>
      <w:r>
        <w:rPr>
          <w:b/>
        </w:rPr>
        <w:t>可执行路线任务：</w:t>
      </w:r>
      <w:r/>
    </w:p>
    <w:p>
      <w:pPr>
        <w:ind w:left="624" w:hanging="255"/>
      </w:pPr>
      <w:r>
        <w:rPr>
          <w:b/>
        </w:rPr>
        <w:t xml:space="preserve">• </w:t>
      </w:r>
      <w:r>
        <w:t>重写波函数、真空涨落、测量与概率结构的底层解释；</w:t>
      </w:r>
    </w:p>
    <w:p>
      <w:pPr>
        <w:ind w:left="624" w:hanging="255"/>
      </w:pPr>
      <w:r>
        <w:rPr>
          <w:b/>
        </w:rPr>
        <w:t xml:space="preserve">• </w:t>
      </w:r>
      <w:r>
        <w:t>把几何与引力重新表述为宏观响应与低能有效描述；</w:t>
      </w:r>
    </w:p>
    <w:p>
      <w:pPr>
        <w:ind w:left="624" w:hanging="255"/>
      </w:pPr>
      <w:r>
        <w:rPr>
          <w:b/>
        </w:rPr>
        <w:t xml:space="preserve">• </w:t>
      </w:r>
      <w:r>
        <w:t>克制处理与弦论、矩阵模型、非交换几何的关系。</w:t>
      </w:r>
    </w:p>
    <w:p>
      <w:pPr/>
      <w:r>
        <w:rPr>
          <w:b/>
        </w:rPr>
        <w:t>阶段输出：</w:t>
      </w:r>
      <w:r/>
    </w:p>
    <w:p>
      <w:pPr>
        <w:ind w:left="624" w:hanging="255"/>
      </w:pPr>
      <w:r>
        <w:rPr>
          <w:b/>
        </w:rPr>
        <w:t xml:space="preserve">• </w:t>
      </w:r>
      <w:r>
        <w:t>形成《BICFT与现代理论物理框架的关系》主文稿。</w:t>
      </w:r>
    </w:p>
    <w:p>
      <w:pPr/>
      <w:r>
        <w:rPr>
          <w:b/>
        </w:rPr>
        <w:t>当前风险边界：</w:t>
      </w:r>
      <w:r>
        <w:t>若衔接部分写得过满，会直接损伤外部读者对整体成熟度的判断。</w:t>
      </w:r>
    </w:p>
    <w:p>
      <w:pPr>
        <w:pStyle w:val="Heading2"/>
      </w:pPr>
      <w:r>
        <w:t>第六部分：研究路线图与验证计划</w:t>
      </w:r>
    </w:p>
    <w:p>
      <w:pPr/>
      <w:r>
        <w:rPr>
          <w:b/>
        </w:rPr>
        <w:t>终局路线定位：</w:t>
      </w:r>
      <w:r>
        <w:t>把整个项目从宏大叙事推进为可施工的研究程序。</w:t>
      </w:r>
    </w:p>
    <w:p>
      <w:pPr/>
      <w:r>
        <w:rPr>
          <w:b/>
        </w:rPr>
        <w:t>可执行路线任务：</w:t>
      </w:r>
      <w:r/>
    </w:p>
    <w:p>
      <w:pPr>
        <w:ind w:left="624" w:hanging="255"/>
      </w:pPr>
      <w:r>
        <w:rPr>
          <w:b/>
        </w:rPr>
        <w:t xml:space="preserve">• </w:t>
      </w:r>
      <w:r>
        <w:t>建立样板模型体系与成功/失败判据；</w:t>
      </w:r>
    </w:p>
    <w:p>
      <w:pPr>
        <w:ind w:left="624" w:hanging="255"/>
      </w:pPr>
      <w:r>
        <w:rPr>
          <w:b/>
        </w:rPr>
        <w:t xml:space="preserve">• </w:t>
      </w:r>
      <w:r>
        <w:t>明确阶段时间、资源需求、能力模块和降级规则；</w:t>
      </w:r>
    </w:p>
    <w:p>
      <w:pPr>
        <w:ind w:left="624" w:hanging="255"/>
      </w:pPr>
      <w:r>
        <w:rPr>
          <w:b/>
        </w:rPr>
        <w:t xml:space="preserve">• </w:t>
      </w:r>
      <w:r>
        <w:t>整理潜在可检验后果与局部论文拆分路径。</w:t>
      </w:r>
    </w:p>
    <w:p>
      <w:pPr/>
      <w:r>
        <w:rPr>
          <w:b/>
        </w:rPr>
        <w:t>阶段输出：</w:t>
      </w:r>
      <w:r/>
    </w:p>
    <w:p>
      <w:pPr>
        <w:ind w:left="624" w:hanging="255"/>
      </w:pPr>
      <w:r>
        <w:rPr>
          <w:b/>
        </w:rPr>
        <w:t xml:space="preserve">• </w:t>
      </w:r>
      <w:r>
        <w:t>形成《BICFT研究路线图与验证计划》主文稿。</w:t>
      </w:r>
    </w:p>
    <w:p>
      <w:pPr/>
      <w:r>
        <w:rPr>
          <w:b/>
        </w:rPr>
        <w:t>当前风险边界：</w:t>
      </w:r>
      <w:r>
        <w:t>若验证程序不明确，则整个项目会停留在不可施工状态。</w:t>
      </w:r>
    </w:p>
    <w:p>
      <w:pPr>
        <w:pStyle w:val="Heading1"/>
      </w:pPr>
      <w:r>
        <w:t>四、样板模型体系：控制模型 A 与主样板模型 B1/B2</w:t>
      </w:r>
    </w:p>
    <w:p>
      <w:pPr/>
      <w:r>
        <w:t>为避免“只讲理论、不落模型”的状况，本项目正式采用三级样板模型体系。其作用不是替代理论本身，而是为第二部分桥梁层提供分级验证抓手。</w:t>
      </w:r>
    </w:p>
    <w:p>
      <w:pPr>
        <w:pStyle w:val="Heading2"/>
      </w:pPr>
      <w:r>
        <w:t>4.1 控制模型 A：SU(2) 自旋网络对照模型</w:t>
      </w:r>
    </w:p>
    <w:p>
      <w:pPr/>
      <w:r>
        <w:t>定位：该模型保留原有“点云—流形学习”流水线，但由于最近邻结构、局域小自旋与引导项等问题，会偷偷带入背景或削弱自发性，因此只保留为控制对照模型，不再承担无背景几何涌现的主证据。</w:t>
      </w:r>
    </w:p>
    <w:p>
      <w:pPr>
        <w:ind w:left="312" w:hanging="255"/>
      </w:pPr>
      <w:r>
        <w:rPr>
          <w:b/>
        </w:rPr>
        <w:t xml:space="preserve">• </w:t>
      </w:r>
      <w:r>
        <w:t>用途：测试数据流、PCA/扩散映射、维数识别与几何识别算法是否工作。</w:t>
      </w:r>
    </w:p>
    <w:p>
      <w:pPr>
        <w:ind w:left="312" w:hanging="255"/>
      </w:pPr>
      <w:r>
        <w:rPr>
          <w:b/>
        </w:rPr>
        <w:t xml:space="preserve">• </w:t>
      </w:r>
      <w:r>
        <w:t>边界：不能再把其数值结果当作“无背景几何涌现”的直接证据。</w:t>
      </w:r>
    </w:p>
    <w:p>
      <w:pPr>
        <w:ind w:left="312" w:hanging="255"/>
      </w:pPr>
      <w:r>
        <w:rPr>
          <w:b/>
        </w:rPr>
        <w:t xml:space="preserve">• </w:t>
      </w:r>
      <w:r>
        <w:t>保留价值：可作为反例来源和流程基线，用于衡量主样板模型结果是否真正超越背景依赖。</w:t>
      </w:r>
    </w:p>
    <w:p>
      <w:pPr>
        <w:pStyle w:val="Heading2"/>
      </w:pPr>
      <w:r>
        <w:t>4.2 主样板模型 B1：无背景大厄米矩阵点云模型</w:t>
      </w:r>
    </w:p>
    <w:p>
      <w:pPr/>
      <w:r>
        <w:t>定位：B1 是当前最符合无背景要求的主样板模型候选。它以若干大型厄米矩阵作为唯一底层变量，重点验证“非交换矩阵 → 近对易极限 → 联合特征值点云 → 低维壳层几何识别”的主链条。</w:t>
      </w:r>
    </w:p>
    <w:p>
      <w:pPr>
        <w:ind w:left="312" w:hanging="255"/>
      </w:pPr>
      <w:r>
        <w:rPr>
          <w:b/>
        </w:rPr>
        <w:t xml:space="preserve">• </w:t>
      </w:r>
      <w:r>
        <w:t>模型目标：不是直接导出卡拉比–丘，而是先验证几何萌芽与壳层几何是否稳健出现。</w:t>
      </w:r>
    </w:p>
    <w:p>
      <w:pPr>
        <w:ind w:left="312" w:hanging="255"/>
      </w:pPr>
      <w:r>
        <w:rPr>
          <w:b/>
        </w:rPr>
        <w:t xml:space="preserve">• </w:t>
      </w:r>
      <w:r>
        <w:t>允许结论：可以说“出现稳定壳层相”“出现低维几何迹象”，不能直接说“球面必然自动出现”。</w:t>
      </w:r>
    </w:p>
    <w:p>
      <w:pPr>
        <w:ind w:left="312" w:hanging="255"/>
      </w:pPr>
      <w:r>
        <w:rPr>
          <w:b/>
        </w:rPr>
        <w:t xml:space="preserve">• </w:t>
      </w:r>
      <w:r>
        <w:t>代码定位：当前仅允许写成概念原型或计算草图；在未补齐联合对角化误差与几何谱判据前，不可写成论文级证据。</w:t>
      </w:r>
    </w:p>
    <w:p>
      <w:pPr>
        <w:pStyle w:val="Heading2"/>
      </w:pPr>
      <w:r>
        <w:t>4.3 主样板模型 B2：三矩阵几何相模型</w:t>
      </w:r>
    </w:p>
    <w:p>
      <w:pPr/>
      <w:r>
        <w:t>定位：B2 用于补足 B1 的另一侧，即不只看点云壳层，而是看是否存在更强意义上的“矩阵相—几何相”转变、球面型背景或相应涨落模。</w:t>
      </w:r>
    </w:p>
    <w:p>
      <w:pPr>
        <w:ind w:left="312" w:hanging="255"/>
      </w:pPr>
      <w:r>
        <w:rPr>
          <w:b/>
        </w:rPr>
        <w:t xml:space="preserve">• </w:t>
      </w:r>
      <w:r>
        <w:t>用途：检验几何相是否能在参数空间中稳定出现，而不是只通过点云视觉效果来判断。</w:t>
      </w:r>
    </w:p>
    <w:p>
      <w:pPr>
        <w:ind w:left="312" w:hanging="255"/>
      </w:pPr>
      <w:r>
        <w:rPr>
          <w:b/>
        </w:rPr>
        <w:t xml:space="preserve">• </w:t>
      </w:r>
      <w:r>
        <w:t>意义：B1 更强于“几何识别”；B2 更强于“几何相存在性”。两者并联后，桥梁层的证据会明显更稳。</w:t>
      </w:r>
    </w:p>
    <w:p>
      <w:pPr>
        <w:ind w:left="312" w:hanging="255"/>
      </w:pPr>
      <w:r>
        <w:rPr>
          <w:b/>
        </w:rPr>
        <w:t xml:space="preserve">• </w:t>
      </w:r>
      <w:r>
        <w:t>状态：B2 属于主样板模型的后续并联路线，不要求先于 B1 完成，但应在总纲中保留正式位置。</w:t>
      </w:r>
    </w:p>
    <w:p>
      <w:pPr>
        <w:pStyle w:val="Heading1"/>
      </w:pPr>
      <w:r>
        <w:t>五、弱版本判断标准：成功判据与失败判据</w:t>
      </w:r>
    </w:p>
    <w:p>
      <w:pPr/>
      <w:r>
        <w:t>本项目是否继续重投入，不再由终局统一叙事决定，而由以下弱版本标准决定。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  <w:shd w:fill="D9EAD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成功判据</w:t>
            </w:r>
          </w:p>
        </w:tc>
        <w:tc>
          <w:tcPr>
            <w:tcW w:type="dxa" w:w="4422"/>
            <w:shd w:fill="F4CC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失败判据</w:t>
            </w:r>
          </w:p>
        </w:tc>
      </w:tr>
      <w:tr>
        <w:tc>
          <w:tcPr>
            <w:tcW w:type="dxa" w:w="3969"/>
            <w:tcMar>
              <w:top w:w="115" w:type="dxa"/>
              <w:start w:w="115" w:type="dxa"/>
              <w:bottom w:w="115" w:type="dxa"/>
              <w:end w:w="115" w:type="dxa"/>
            </w:tcMar>
            <w:shd w:fill="F3FBF2"/>
            <w:vAlign w:val="center"/>
          </w:tcPr>
          <w:p>
            <w:r/>
            <w:r>
              <w:t>S1：归一化对易子范数显著下降，并进入稳定近对易区。</w:t>
            </w:r>
          </w:p>
        </w:tc>
        <w:tc>
          <w:tcPr>
            <w:tcW w:type="dxa" w:w="4422"/>
            <w:tcMar>
              <w:top w:w="115" w:type="dxa"/>
              <w:start w:w="115" w:type="dxa"/>
              <w:bottom w:w="115" w:type="dxa"/>
              <w:end w:w="115" w:type="dxa"/>
            </w:tcMar>
            <w:shd w:fill="FEF2F2"/>
            <w:vAlign w:val="center"/>
          </w:tcPr>
          <w:p>
            <w:r/>
            <w:r>
              <w:t>F1：无稳定近对易区，或结果严重依赖个别初始化。</w:t>
            </w:r>
          </w:p>
        </w:tc>
      </w:tr>
      <w:tr>
        <w:tc>
          <w:tcPr>
            <w:tcW w:type="dxa" w:w="3969"/>
            <w:tcMar>
              <w:top w:w="115" w:type="dxa"/>
              <w:start w:w="115" w:type="dxa"/>
              <w:bottom w:w="115" w:type="dxa"/>
              <w:end w:w="115" w:type="dxa"/>
            </w:tcMar>
            <w:shd w:fill="F3FBF2"/>
            <w:vAlign w:val="center"/>
          </w:tcPr>
          <w:p>
            <w:r/>
            <w:r>
              <w:t>S2：联合对角化残差足够小，点云提取是稳健的。</w:t>
            </w:r>
          </w:p>
        </w:tc>
        <w:tc>
          <w:tcPr>
            <w:tcW w:type="dxa" w:w="4422"/>
            <w:tcMar>
              <w:top w:w="115" w:type="dxa"/>
              <w:start w:w="115" w:type="dxa"/>
              <w:bottom w:w="115" w:type="dxa"/>
              <w:end w:w="115" w:type="dxa"/>
            </w:tcMar>
            <w:shd w:fill="FEF2F2"/>
            <w:vAlign w:val="center"/>
          </w:tcPr>
          <w:p>
            <w:r/>
            <w:r>
              <w:t>F2：联合对角化误差始终过大，点云提取不可靠。</w:t>
            </w:r>
          </w:p>
        </w:tc>
      </w:tr>
      <w:tr>
        <w:tc>
          <w:tcPr>
            <w:tcW w:type="dxa" w:w="3969"/>
            <w:tcMar>
              <w:top w:w="115" w:type="dxa"/>
              <w:start w:w="115" w:type="dxa"/>
              <w:bottom w:w="115" w:type="dxa"/>
              <w:end w:w="115" w:type="dxa"/>
            </w:tcMar>
            <w:shd w:fill="F3FBF2"/>
            <w:vAlign w:val="center"/>
          </w:tcPr>
          <w:p>
            <w:r/>
            <w:r>
              <w:t>S3：点云存在稳健的低维壳层结构，而非偶然团簇或视觉幻觉。</w:t>
            </w:r>
          </w:p>
        </w:tc>
        <w:tc>
          <w:tcPr>
            <w:tcW w:type="dxa" w:w="4422"/>
            <w:tcMar>
              <w:top w:w="115" w:type="dxa"/>
              <w:start w:w="115" w:type="dxa"/>
              <w:bottom w:w="115" w:type="dxa"/>
              <w:end w:w="115" w:type="dxa"/>
            </w:tcMar>
            <w:shd w:fill="FEF2F2"/>
            <w:vAlign w:val="center"/>
          </w:tcPr>
          <w:p>
            <w:r/>
            <w:r>
              <w:t>F3：低维壳层只在精细调参下出现，缺乏稳健性。</w:t>
            </w:r>
          </w:p>
        </w:tc>
      </w:tr>
      <w:tr>
        <w:tc>
          <w:tcPr>
            <w:tcW w:type="dxa" w:w="3969"/>
            <w:tcMar>
              <w:top w:w="115" w:type="dxa"/>
              <w:start w:w="115" w:type="dxa"/>
              <w:bottom w:w="115" w:type="dxa"/>
              <w:end w:w="115" w:type="dxa"/>
            </w:tcMar>
            <w:shd w:fill="F3FBF2"/>
            <w:vAlign w:val="center"/>
          </w:tcPr>
          <w:p>
            <w:r/>
            <w:r>
              <w:t>S4：几何识别指标支持某种可解释的低维流形，而不只是“看起来像”。</w:t>
            </w:r>
          </w:p>
        </w:tc>
        <w:tc>
          <w:tcPr>
            <w:tcW w:type="dxa" w:w="4422"/>
            <w:tcMar>
              <w:top w:w="115" w:type="dxa"/>
              <w:start w:w="115" w:type="dxa"/>
              <w:bottom w:w="115" w:type="dxa"/>
              <w:end w:w="115" w:type="dxa"/>
            </w:tcMar>
            <w:shd w:fill="FEF2F2"/>
            <w:vAlign w:val="center"/>
          </w:tcPr>
          <w:p>
            <w:r/>
            <w:r>
              <w:t>F4：几何指标不稳定，换算法、参数或初值后即消失。</w:t>
            </w:r>
          </w:p>
        </w:tc>
      </w:tr>
    </w:tbl>
    <w:p/>
    <w:p>
      <w:pPr>
        <w:pStyle w:val="Callout"/>
        <w:shd w:fill="EAF4E4"/>
      </w:pPr>
      <w:r>
        <w:rPr>
          <w:b/>
        </w:rPr>
        <w:t>继续投入的最低门槛：</w:t>
      </w:r>
      <w:r>
        <w:t>B1 或 B2 中至少有一项达到 S1–S4 中的两项以上，且未触发 F1–F4 中的硬失败条件。若长期达不到，则项目必须回退到模型重构层，而不能继续向更高层结构扩张。</w:t>
      </w:r>
    </w:p>
    <w:p>
      <w:pPr>
        <w:pStyle w:val="Heading1"/>
      </w:pPr>
      <w:r>
        <w:t>六、阶段推进顺序、时间结构与能力模块</w:t>
      </w:r>
    </w:p>
    <w:p>
      <w:pPr/>
      <w:r>
        <w:t>为避免项目无限拉长，本稿采用“三段式时间结构 + 四类能力模块”的组织方式。</w:t>
      </w:r>
    </w:p>
    <w:p>
      <w:pPr>
        <w:pStyle w:val="Heading3"/>
      </w:pPr>
      <w:r>
        <w:t>6.1 时间结构</w:t>
      </w:r>
    </w:p>
    <w:p>
      <w:pPr>
        <w:ind w:left="312" w:hanging="255"/>
      </w:pPr>
      <w:r>
        <w:rPr>
          <w:b/>
        </w:rPr>
        <w:t xml:space="preserve">1. </w:t>
      </w:r>
      <w:r>
        <w:t>短期（0–12 个月）：固定总纲、完善 B1 概念原型、建立联合对角化残差与几何识别指标，完成第一轮可视化与失败诊断。</w:t>
      </w:r>
    </w:p>
    <w:p>
      <w:pPr>
        <w:ind w:left="312" w:hanging="255"/>
      </w:pPr>
      <w:r>
        <w:rPr>
          <w:b/>
        </w:rPr>
        <w:t xml:space="preserve">2. </w:t>
      </w:r>
      <w:r>
        <w:t>中期（1–3 年）：推进 B1 的统计稳健性与 B2 的几何相分析，整理为局部成果论文，并开始弱现象学绑定。</w:t>
      </w:r>
    </w:p>
    <w:p>
      <w:pPr>
        <w:ind w:left="312" w:hanging="255"/>
      </w:pPr>
      <w:r>
        <w:rPr>
          <w:b/>
        </w:rPr>
        <w:t xml:space="preserve">3. </w:t>
      </w:r>
      <w:r>
        <w:t>长期（3 年以上）：若桥梁层持续成功，再推进到 4+6+3 的排除性论证、零模与粒子谱的更强整合。</w:t>
      </w:r>
    </w:p>
    <w:p>
      <w:pPr>
        <w:pStyle w:val="Heading3"/>
      </w:pPr>
      <w:r>
        <w:t>6.2 能力模块</w:t>
      </w:r>
    </w:p>
    <w:p>
      <w:pPr>
        <w:ind w:left="312" w:hanging="255"/>
      </w:pPr>
      <w:r>
        <w:rPr>
          <w:b/>
        </w:rPr>
        <w:t xml:space="preserve">1. </w:t>
      </w:r>
      <w:r>
        <w:t>代数/矩阵模型与非交换结构；</w:t>
      </w:r>
    </w:p>
    <w:p>
      <w:pPr>
        <w:ind w:left="312" w:hanging="255"/>
      </w:pPr>
      <w:r>
        <w:rPr>
          <w:b/>
        </w:rPr>
        <w:t xml:space="preserve">2. </w:t>
      </w:r>
      <w:r>
        <w:t>几何/PDE 与低能有效作用量；</w:t>
      </w:r>
    </w:p>
    <w:p>
      <w:pPr>
        <w:ind w:left="312" w:hanging="255"/>
      </w:pPr>
      <w:r>
        <w:rPr>
          <w:b/>
        </w:rPr>
        <w:t xml:space="preserve">3. </w:t>
      </w:r>
      <w:r>
        <w:t>数值计算、流形学习与几何识别；</w:t>
      </w:r>
    </w:p>
    <w:p>
      <w:pPr>
        <w:ind w:left="312" w:hanging="255"/>
      </w:pPr>
      <w:r>
        <w:rPr>
          <w:b/>
        </w:rPr>
        <w:t xml:space="preserve">4. </w:t>
      </w:r>
      <w:r>
        <w:t>理论物理解释、写作与现象学接口。</w:t>
      </w:r>
    </w:p>
    <w:p>
      <w:pPr>
        <w:pStyle w:val="Heading1"/>
      </w:pPr>
      <w:r>
        <w:t>七、近期优先任务</w:t>
      </w:r>
    </w:p>
    <w:p>
      <w:pPr>
        <w:ind w:left="312" w:hanging="255"/>
      </w:pPr>
      <w:r>
        <w:rPr>
          <w:b/>
        </w:rPr>
        <w:t xml:space="preserve">• </w:t>
      </w:r>
      <w:r>
        <w:t>优先完善 B1 的正式文稿，把“主样板模型候选”与“概念原型代码”的定位写稳。</w:t>
      </w:r>
    </w:p>
    <w:p>
      <w:pPr>
        <w:ind w:left="312" w:hanging="255"/>
      </w:pPr>
      <w:r>
        <w:rPr>
          <w:b/>
        </w:rPr>
        <w:t xml:space="preserve">• </w:t>
      </w:r>
      <w:r>
        <w:t>在总纲中把 A、B1、B2 的层级正式固定，避免后续再次混写为一个模型。</w:t>
      </w:r>
    </w:p>
    <w:p>
      <w:pPr>
        <w:ind w:left="312" w:hanging="255"/>
      </w:pPr>
      <w:r>
        <w:rPr>
          <w:b/>
        </w:rPr>
        <w:t xml:space="preserve">• </w:t>
      </w:r>
      <w:r>
        <w:t>为 B1 增加联合对角化误差、维数识别、离散 Laplacian、曲率近似等更硬的几何指标。</w:t>
      </w:r>
    </w:p>
    <w:p>
      <w:pPr>
        <w:ind w:left="312" w:hanging="255"/>
      </w:pPr>
      <w:r>
        <w:rPr>
          <w:b/>
        </w:rPr>
        <w:t xml:space="preserve">• </w:t>
      </w:r>
      <w:r>
        <w:t>在 B1 出现首批稳定结果前，不再扩张终局叙事，不把高维内部结构写成已导出结论。</w:t>
      </w:r>
    </w:p>
    <w:p>
      <w:pPr>
        <w:pStyle w:val="Heading1"/>
      </w:pPr>
      <w:r>
        <w:t>八、结语</w:t>
      </w:r>
    </w:p>
    <w:p>
      <w:pPr/>
      <w:r>
        <w:t>本版大纲的核心变化，不是简单增加内容，而是把项目正式拆分成“可远期追求的终局路线”与“当前必须拿结果说话的可执行路线”。在这一框架下，弱版本成果不再被视为次一级说法，而被提升为决定项目是否继续重投入的首要判断标准。</w:t>
      </w:r>
    </w:p>
    <w:p>
      <w:pPr/>
      <w:r>
        <w:t>因此，当前真正需要完成的，不是继续扩大统一叙事的覆盖面，而是让主样板模型 B1 或 B2 至少有一个率先给出稳定、可复现、可诊断的桥梁层结果。只有当这一层站住之后，后续十三维、零模、粒子谱与统一图景才具备继续上推的现实基础。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62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after="240"/>
    </w:pPr>
    <w:rPr>
      <w:rFonts w:ascii="微软雅黑" w:hAnsi="微软雅黑" w:eastAsia="微软雅黑"/>
      <w:b/>
      <w:color w:val="1F4E79"/>
      <w:sz w:val="40"/>
    </w:rPr>
  </w:style>
  <w:style w:type="paragraph" w:customStyle="1" w:styleId="SubtitleCN">
    <w:name w:val="SubtitleCN"/>
    <w:basedOn w:val="Normal"/>
    <w:pPr>
      <w:spacing w:after="200"/>
    </w:pPr>
    <w:rPr>
      <w:rFonts w:ascii="微软雅黑" w:hAnsi="微软雅黑" w:eastAsia="微软雅黑"/>
      <w:color w:val="595959"/>
      <w:sz w:val="21"/>
    </w:rPr>
  </w:style>
  <w:style w:type="paragraph" w:customStyle="1" w:styleId="Callout">
    <w:name w:val="Callout"/>
    <w:basedOn w:val="Normal"/>
    <w:pPr>
      <w:spacing w:before="80" w:after="160" w:line="300" w:lineRule="auto"/>
      <w:ind w:left="312" w:right="142"/>
    </w:pPr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