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r>
        <w:br/>
      </w:r>
      <w:r>
        <w:br/>
      </w:r>
      <w:r>
        <w:br/>
      </w:r>
      <w:r>
        <w:br/>
      </w:r>
    </w:p>
    <w:p>
      <w:pPr>
        <w:spacing w:before="0" w:after="200" w:line="264" w:lineRule="auto"/>
        <w:jc w:val="center"/>
      </w:pPr>
      <w:r>
        <w:rPr>
          <w:rFonts w:ascii="Noto Sans CJK SC" w:hAnsi="Noto Sans CJK SC" w:eastAsia="Noto Sans CJK SC" w:cs="Noto Sans CJK SC"/>
          <w:b/>
          <w:i w:val="0"/>
          <w:color w:val="1F4E79"/>
          <w:sz w:val="40"/>
        </w:rPr>
        <w:t>无背景非线性共享场理论（BNCFT）总纲正式版</w:t>
      </w:r>
    </w:p>
    <w:p>
      <w:pPr>
        <w:spacing w:before="0" w:after="360" w:line="264" w:lineRule="auto"/>
        <w:jc w:val="center"/>
      </w:pPr>
      <w:r>
        <w:rPr>
          <w:rFonts w:ascii="Noto Sans CJK SC" w:hAnsi="Noto Sans CJK SC" w:eastAsia="Noto Sans CJK SC" w:cs="Noto Sans CJK SC"/>
          <w:b w:val="0"/>
          <w:i/>
          <w:color w:val="595959"/>
          <w:sz w:val="25"/>
        </w:rPr>
        <w:t>Formal General Outline of Background-Free Nonlinear Common Field Theory (BNCFT)</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4649"/>
        <w:gridCol w:w="4649"/>
      </w:tblGrid>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文档定位 / Purpose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总纲挂帅文件：统一研究引言、卷次结构、实验验证主轴与扩展方向 / Flagship outline document</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作者 / Author</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吴启明    467274520@qq.com</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版本 / Version</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V2</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日期 / Date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2026-04-20</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备注 / Note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本版在合并总引言基础上，进一步锁定卷次结构、实验验证主轴与 4+6+Xi_5 的安放位置。</w:t>
            </w:r>
          </w:p>
        </w:tc>
      </w:tr>
    </w:tbl>
    <w:p>
      <w:pPr>
        <w:spacing w:before="360" w:after="0" w:line="324" w:lineRule="auto"/>
        <w:jc w:val="center"/>
      </w:pPr>
      <w:r>
        <w:rPr>
          <w:rFonts w:ascii="Noto Sans CJK SC" w:hAnsi="Noto Sans CJK SC" w:eastAsia="Noto Sans CJK SC" w:cs="Noto Sans CJK SC"/>
          <w:b w:val="0"/>
          <w:i w:val="0"/>
          <w:color w:val="595959"/>
          <w:sz w:val="22"/>
        </w:rPr>
        <w:t>无背景非线性共享场理论（BNCFT）正式文档包</w:t>
      </w:r>
    </w:p>
    <w:p>
      <w:r>
        <w:br w:type="page"/>
      </w:r>
    </w:p>
    <w:p>
      <w:pPr>
        <w:pStyle w:val="BNCFTHeading1"/>
        <w:spacing w:before="160" w:after="120" w:line="276" w:lineRule="auto"/>
        <w:jc w:val="left"/>
      </w:pPr>
      <w:r>
        <w:rPr>
          <w:rFonts w:ascii="Noto Sans CJK SC" w:hAnsi="Noto Sans CJK SC" w:eastAsia="Noto Sans CJK SC" w:cs="Noto Sans CJK SC"/>
          <w:b/>
          <w:i w:val="0"/>
          <w:color w:val="1F4E79"/>
          <w:sz w:val="30"/>
        </w:rPr>
        <w:t>一、总引言：为什么要开展 BNCFT 研究</w:t>
      </w:r>
    </w:p>
    <w:p>
      <w:pPr>
        <w:pStyle w:val="BNCFTBody"/>
        <w:spacing w:before="0" w:after="120" w:line="348" w:lineRule="auto"/>
        <w:ind w:firstLine="420"/>
        <w:jc w:val="both"/>
      </w:pPr>
      <w:r>
        <w:rPr>
          <w:rFonts w:ascii="Noto Serif CJK SC" w:hAnsi="Noto Serif CJK SC" w:eastAsia="Noto Serif CJK SC" w:cs="Noto Serif CJK SC"/>
          <w:b w:val="0"/>
          <w:i w:val="0"/>
          <w:sz w:val="22"/>
        </w:rPr>
        <w:t>现代物理在经验层面取得了巨大成功，但这种成功并不自动等价于底层图景的统一。量子力学、量子场论与广义相对论分别在其适用区间内高度有效，可一旦追问“对象是什么、测量是什么、关联为何能超出局域独立图景、统计性质从何而来”，现有理论便呈现出解释结构上的分裂。</w:t>
      </w:r>
    </w:p>
    <w:p>
      <w:pPr>
        <w:pStyle w:val="BNCFTBody"/>
        <w:spacing w:before="0" w:after="120" w:line="348" w:lineRule="auto"/>
        <w:ind w:firstLine="420"/>
        <w:jc w:val="both"/>
      </w:pPr>
      <w:r>
        <w:rPr>
          <w:rFonts w:ascii="Noto Serif CJK SC" w:hAnsi="Noto Serif CJK SC" w:eastAsia="Noto Serif CJK SC" w:cs="Noto Serif CJK SC"/>
          <w:b w:val="0"/>
          <w:i w:val="0"/>
          <w:sz w:val="22"/>
        </w:rPr>
        <w:t>BNCFT 的研究动机，不是对单一现象进行情绪化反叛，而是观察到多类量子“反常规”现象共同指向同一种深层压力：若坚持把世界底层理解为若干彼此独立、局域自足、先验完备的小对象，再不断向上加补丁，理论就在整体一致性、实验符合性与概念可理解性之间持续出现裂口。</w:t>
      </w:r>
    </w:p>
    <w:p>
      <w:pPr>
        <w:pStyle w:val="BNCFTBody"/>
        <w:spacing w:before="0" w:after="120" w:line="348" w:lineRule="auto"/>
        <w:ind w:firstLine="420"/>
        <w:jc w:val="both"/>
      </w:pPr>
      <w:r>
        <w:rPr>
          <w:rFonts w:ascii="Noto Serif CJK SC" w:hAnsi="Noto Serif CJK SC" w:eastAsia="Noto Serif CJK SC" w:cs="Noto Serif CJK SC"/>
          <w:b w:val="0"/>
          <w:i w:val="0"/>
          <w:sz w:val="22"/>
        </w:rPr>
        <w:t>因此，总纲把“无背景非线性共享场”视为一个待施工、待核验、待回退的研究方向，而不是已经完成的终局理论。总纲的功能，是把研究对象、写作边界、硬约束、卷内分工、实验验证主轴与后续扩展方向统一在一条能够长期推进的主线上。</w:t>
      </w:r>
    </w:p>
    <w:p>
      <w:pPr>
        <w:pStyle w:val="BNCFTBody"/>
        <w:spacing w:before="0" w:after="120" w:line="348" w:lineRule="auto"/>
        <w:ind w:firstLine="0"/>
        <w:jc w:val="both"/>
      </w:pPr>
      <w:r>
        <w:rPr>
          <w:rFonts w:ascii="Noto Serif CJK SC" w:hAnsi="Noto Serif CJK SC" w:eastAsia="Noto Serif CJK SC" w:cs="Noto Serif CJK SC"/>
          <w:b w:val="0"/>
          <w:i w:val="0"/>
          <w:sz w:val="22"/>
        </w:rPr>
        <w:t>下表概括若干典型量子“反常规”现象所迫使我们重新审视的经典前提。</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24"/>
        <w:gridCol w:w="2324"/>
        <w:gridCol w:w="2324"/>
        <w:gridCol w:w="2324"/>
      </w:tblGrid>
      <w:tr>
        <w:tc>
          <w:tcPr>
            <w:tcW w:type="dxa" w:w="1474"/>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现象</w:t>
            </w:r>
          </w:p>
        </w:tc>
        <w:tc>
          <w:tcPr>
            <w:tcW w:type="dxa" w:w="2608"/>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经典图景中最紧张的前提</w:t>
            </w:r>
          </w:p>
        </w:tc>
        <w:tc>
          <w:tcPr>
            <w:tcW w:type="dxa" w:w="255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常见补丁式处理</w:t>
            </w:r>
          </w:p>
        </w:tc>
        <w:tc>
          <w:tcPr>
            <w:tcW w:type="dxa" w:w="3118"/>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BNCFT 的重述方向</w:t>
            </w:r>
          </w:p>
        </w:tc>
      </w:tr>
      <w:tr>
        <w:tc>
          <w:tcPr>
            <w:tcW w:type="dxa" w:w="147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Bell 违背</w:t>
            </w:r>
          </w:p>
        </w:tc>
        <w:tc>
          <w:tcPr>
            <w:tcW w:type="dxa" w:w="260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局域独立子系统 + 结果预定</w:t>
            </w:r>
          </w:p>
        </w:tc>
        <w:tc>
          <w:tcPr>
            <w:tcW w:type="dxa" w:w="255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改变量子概率解释或接受解释分裂</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把两端视为同一共享场整体态的两个局域读出端</w:t>
            </w:r>
          </w:p>
        </w:tc>
      </w:tr>
      <w:tr>
        <w:tc>
          <w:tcPr>
            <w:tcW w:type="dxa" w:w="147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量子纠缠</w:t>
            </w:r>
          </w:p>
        </w:tc>
        <w:tc>
          <w:tcPr>
            <w:tcW w:type="dxa" w:w="260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整体态可分解为局域态简单直积</w:t>
            </w:r>
          </w:p>
        </w:tc>
        <w:tc>
          <w:tcPr>
            <w:tcW w:type="dxa" w:w="255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用测量后坍缩维持统一叙述</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以场整体态先于粒子划分，局域态仅为条件化表象</w:t>
            </w:r>
          </w:p>
        </w:tc>
      </w:tr>
      <w:tr>
        <w:tc>
          <w:tcPr>
            <w:tcW w:type="dxa" w:w="147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测量问题</w:t>
            </w:r>
          </w:p>
        </w:tc>
        <w:tc>
          <w:tcPr>
            <w:tcW w:type="dxa" w:w="260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对象与观测严格外在分离</w:t>
            </w:r>
          </w:p>
        </w:tc>
        <w:tc>
          <w:tcPr>
            <w:tcW w:type="dxa" w:w="255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坍缩、公设分层、多世界等并行修补</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把测量理解为场—装置耦合下的稳定读出选择</w:t>
            </w:r>
          </w:p>
        </w:tc>
      </w:tr>
      <w:tr>
        <w:tc>
          <w:tcPr>
            <w:tcW w:type="dxa" w:w="147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上下文性</w:t>
            </w:r>
          </w:p>
        </w:tc>
        <w:tc>
          <w:tcPr>
            <w:tcW w:type="dxa" w:w="260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物理量具有先验、与测量无关的固定值</w:t>
            </w:r>
          </w:p>
        </w:tc>
        <w:tc>
          <w:tcPr>
            <w:tcW w:type="dxa" w:w="255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以形式规则承认不可共测而不追问底层</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把可观测量视为场态与测量结构共同生成的响应</w:t>
            </w:r>
          </w:p>
        </w:tc>
      </w:tr>
      <w:tr>
        <w:tc>
          <w:tcPr>
            <w:tcW w:type="dxa" w:w="147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全同粒子统计</w:t>
            </w:r>
          </w:p>
        </w:tc>
        <w:tc>
          <w:tcPr>
            <w:tcW w:type="dxa" w:w="260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粒子先天带有可追踪个体标签</w:t>
            </w:r>
          </w:p>
        </w:tc>
        <w:tc>
          <w:tcPr>
            <w:tcW w:type="dxa" w:w="255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以交换对称性作为外加规则</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粒子种类与统计性质由共享场激发模式决定</w:t>
            </w:r>
          </w:p>
        </w:tc>
      </w:tr>
    </w:tbl>
    <w:p>
      <w:pPr>
        <w:pStyle w:val="BNCFTHeading1"/>
        <w:spacing w:before="160" w:after="120" w:line="276" w:lineRule="auto"/>
        <w:jc w:val="left"/>
      </w:pPr>
      <w:r>
        <w:rPr>
          <w:rFonts w:ascii="Noto Sans CJK SC" w:hAnsi="Noto Sans CJK SC" w:eastAsia="Noto Sans CJK SC" w:cs="Noto Sans CJK SC"/>
          <w:b/>
          <w:i w:val="0"/>
          <w:color w:val="1F4E79"/>
          <w:sz w:val="30"/>
        </w:rPr>
        <w:t>二、文稿边界与总硬约束</w:t>
      </w:r>
    </w:p>
    <w:p>
      <w:pPr>
        <w:pStyle w:val="ListNumber"/>
        <w:spacing w:before="0" w:after="60" w:line="312" w:lineRule="auto"/>
        <w:ind w:left="170"/>
        <w:jc w:val="left"/>
      </w:pPr>
      <w:r>
        <w:rPr>
          <w:rFonts w:ascii="Noto Serif CJK SC" w:hAnsi="Noto Serif CJK SC" w:eastAsia="Noto Serif CJK SC" w:cs="Noto Serif CJK SC"/>
          <w:b w:val="0"/>
          <w:i w:val="0"/>
          <w:sz w:val="22"/>
        </w:rPr>
        <w:t>本总纲不宣称 BNCFT 已经完成全部证明；它仅锁定研究主线、版本边界与最低施工原则。</w:t>
      </w:r>
    </w:p>
    <w:p>
      <w:pPr>
        <w:pStyle w:val="ListNumber"/>
        <w:spacing w:before="0" w:after="60" w:line="312" w:lineRule="auto"/>
        <w:ind w:left="170"/>
        <w:jc w:val="left"/>
      </w:pPr>
      <w:r>
        <w:rPr>
          <w:rFonts w:ascii="Noto Serif CJK SC" w:hAnsi="Noto Serif CJK SC" w:eastAsia="Noto Serif CJK SC" w:cs="Noto Serif CJK SC"/>
          <w:b w:val="0"/>
          <w:i w:val="0"/>
          <w:sz w:val="22"/>
        </w:rPr>
        <w:t>凡涉及“严格推出”“必然涌现”“已解决弦景观”等强口径内容，若缺乏可裁决推导，则一律降为“候选机制”“接口稿”或“待验证命题”。</w:t>
      </w:r>
    </w:p>
    <w:p>
      <w:pPr>
        <w:pStyle w:val="ListNumber"/>
        <w:spacing w:before="0" w:after="60" w:line="312" w:lineRule="auto"/>
        <w:ind w:left="170"/>
        <w:jc w:val="left"/>
      </w:pPr>
      <w:r>
        <w:rPr>
          <w:rFonts w:ascii="Noto Serif CJK SC" w:hAnsi="Noto Serif CJK SC" w:eastAsia="Noto Serif CJK SC" w:cs="Noto Serif CJK SC"/>
          <w:b w:val="0"/>
          <w:i w:val="0"/>
          <w:sz w:val="22"/>
        </w:rPr>
        <w:t>总纲保留 BNCFT 的正式名称与无背景主轴，但明确区分本体层、接口层与现象层，防止把有效表述误写成本体起点。</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不允许把连续流形语言直接冒充为本体起点；若使用 BF 型、有效场论型或几何接口型语言，必须声明其为粗粒化后的接口层投影。</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不允许用漂亮但不可核验的命名替代真正约束；所有新增结构都应附带“最小核验方式”“失败时回退动作”与“归属编次”。</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不允许把零散接口稿越级宣传为总理论完工；第四编及其专题稿统一按“预备章/接口章”口径处理。</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实验验证部分只收纳“实验精度高、理论出现分叉或瓶颈”的代表案例，主轴锁定 muon g−2，辅助锁定 2025 LHC 精密测量，其它案例谨慎处理。</w:t>
      </w:r>
    </w:p>
    <w:p>
      <w:pPr>
        <w:pStyle w:val="BNCFTHeading1"/>
        <w:spacing w:before="160" w:after="120" w:line="276" w:lineRule="auto"/>
        <w:jc w:val="left"/>
      </w:pPr>
      <w:r>
        <w:rPr>
          <w:rFonts w:ascii="Noto Sans CJK SC" w:hAnsi="Noto Sans CJK SC" w:eastAsia="Noto Sans CJK SC" w:cs="Noto Sans CJK SC"/>
          <w:b/>
          <w:i w:val="0"/>
          <w:color w:val="1F4E79"/>
          <w:sz w:val="30"/>
        </w:rPr>
        <w:t>三、卷次结构与当前定位</w:t>
      </w:r>
    </w:p>
    <w:p>
      <w:pPr>
        <w:pStyle w:val="BNCFTBody"/>
        <w:spacing w:before="0" w:after="120" w:line="348" w:lineRule="auto"/>
        <w:ind w:firstLine="0"/>
        <w:jc w:val="both"/>
      </w:pPr>
      <w:r>
        <w:rPr>
          <w:rFonts w:ascii="Noto Serif CJK SC" w:hAnsi="Noto Serif CJK SC" w:eastAsia="Noto Serif CJK SC" w:cs="Noto Serif CJK SC"/>
          <w:b w:val="0"/>
          <w:i w:val="0"/>
          <w:sz w:val="22"/>
        </w:rPr>
        <w:t>本总纲将现阶段 BNCFT 文稿分为“主地基、接口章、实验附章与治理层”四个层次。主地基决定总理论是否站得住；接口章提供后续高能与跨层出口；实验附章负责外部核验；治理层负责术语、版本与风险控制。</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24"/>
        <w:gridCol w:w="2324"/>
        <w:gridCol w:w="2324"/>
        <w:gridCol w:w="2324"/>
      </w:tblGrid>
      <w:tr>
        <w:tc>
          <w:tcPr>
            <w:tcW w:type="dxa" w:w="1304"/>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部分</w:t>
            </w:r>
          </w:p>
        </w:tc>
        <w:tc>
          <w:tcPr>
            <w:tcW w:type="dxa" w:w="3402"/>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核心任务</w:t>
            </w:r>
          </w:p>
        </w:tc>
        <w:tc>
          <w:tcPr>
            <w:tcW w:type="dxa" w:w="153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当前状态</w:t>
            </w:r>
          </w:p>
        </w:tc>
        <w:tc>
          <w:tcPr>
            <w:tcW w:type="dxa" w:w="3402"/>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说明</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总引言</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研究缘起、问题提出与总口径</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已并入</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作为全书前置概念入口</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第一编</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无背景红线、公设体系、母方程与最小可裁决命题</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待重推</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总地基</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第二编</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更新序、因果序、时间与切片</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待对齐</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时间/因果主轴</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第三编</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离散几何接口、曲率代理、连续极限边界</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待回填</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几何主轴</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第四编</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高能接口与扩展研究：弦样结构、6维内部几何、4+6+Xi_5</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本次新建预备章</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接口与扩展主轴</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实验验证附章</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muon g−2、LHC 精密测量与“实验精度高、理论出现分叉或瓶颈”的案例整理</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待并入</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外部核验主轴</w:t>
            </w:r>
          </w:p>
        </w:tc>
      </w:tr>
      <w:tr>
        <w:tc>
          <w:tcPr>
            <w:tcW w:type="dxa" w:w="130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附录与治理层</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术语表、版本表、未证命题与最小施工清单</w:t>
            </w:r>
          </w:p>
        </w:tc>
        <w:tc>
          <w:tcPr>
            <w:tcW w:type="dxa" w:w="153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本次新建</w:t>
            </w:r>
          </w:p>
        </w:tc>
        <w:tc>
          <w:tcPr>
            <w:tcW w:type="dxa" w:w="3402"/>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治理主轴</w:t>
            </w:r>
          </w:p>
        </w:tc>
      </w:tr>
    </w:tbl>
    <w:p>
      <w:pPr>
        <w:pStyle w:val="BNCFTHeading1"/>
        <w:spacing w:before="160" w:after="120" w:line="276" w:lineRule="auto"/>
        <w:jc w:val="left"/>
      </w:pPr>
      <w:r>
        <w:rPr>
          <w:rFonts w:ascii="Noto Sans CJK SC" w:hAnsi="Noto Sans CJK SC" w:eastAsia="Noto Sans CJK SC" w:cs="Noto Sans CJK SC"/>
          <w:b/>
          <w:i w:val="0"/>
          <w:color w:val="1F4E79"/>
          <w:sz w:val="30"/>
        </w:rPr>
        <w:t>四、实验验证环节：主轴与辅助轴</w:t>
      </w:r>
    </w:p>
    <w:p>
      <w:pPr>
        <w:pStyle w:val="BNCFTBody"/>
        <w:spacing w:before="0" w:after="120" w:line="348" w:lineRule="auto"/>
        <w:ind w:firstLine="420"/>
        <w:jc w:val="both"/>
      </w:pPr>
      <w:r>
        <w:rPr>
          <w:rFonts w:ascii="Noto Serif CJK SC" w:hAnsi="Noto Serif CJK SC" w:eastAsia="Noto Serif CJK SC" w:cs="Noto Serif CJK SC"/>
          <w:b w:val="0"/>
          <w:i w:val="0"/>
          <w:sz w:val="22"/>
        </w:rPr>
        <w:t>实验验证部分的目的，不是简单罗列“哪里不一致”，而是寻找这样一种更有说服力的情形：实验精度已经足够高，经验对象清晰存在，但理论解释路径出现分叉、重组或瓶颈，于是逼迫我们重新审视底层组织方式。</w:t>
      </w:r>
    </w:p>
    <w:p>
      <w:pPr>
        <w:pStyle w:val="BNCFTBody"/>
        <w:spacing w:before="0" w:after="120" w:line="348" w:lineRule="auto"/>
        <w:ind w:firstLine="420"/>
        <w:jc w:val="both"/>
      </w:pPr>
      <w:r>
        <w:rPr>
          <w:rFonts w:ascii="Noto Serif CJK SC" w:hAnsi="Noto Serif CJK SC" w:eastAsia="Noto Serif CJK SC" w:cs="Noto Serif CJK SC"/>
          <w:b w:val="0"/>
          <w:i w:val="0"/>
          <w:sz w:val="22"/>
        </w:rPr>
        <w:t>就这一标准而言，muon g−2 是当前最适合作为主轴的案例。Fermilab Muon g−2 在 2025 年公布第三次也是最终结果，达到 127 ppb 级精度；实验侧在该问题上已经极度成熟，而理论侧围绕 hadronic vacuum polarization 的数据驱动与格点整合路径则出现明显分层与重组。2026 年 Breakthrough Prize 对 CERN、Brookhaven 与 Fermilab 三代 Muon g−2 合作的表彰，也强化了其作为“高精度实验—理论分叉”代表案例的地位。</w:t>
      </w:r>
    </w:p>
    <w:p>
      <w:pPr>
        <w:pStyle w:val="BNCFTBody"/>
        <w:spacing w:before="0" w:after="120" w:line="348" w:lineRule="auto"/>
        <w:ind w:firstLine="420"/>
        <w:jc w:val="both"/>
      </w:pPr>
      <w:r>
        <w:rPr>
          <w:rFonts w:ascii="Noto Serif CJK SC" w:hAnsi="Noto Serif CJK SC" w:eastAsia="Noto Serif CJK SC" w:cs="Noto Serif CJK SC"/>
          <w:b w:val="0"/>
          <w:i w:val="0"/>
          <w:sz w:val="22"/>
        </w:rPr>
        <w:t>2025 年 LHC Run-2 相关精密测量则构成辅助主轴。其意义不在于“标准模型整体失效”，而在于：从 Higgs 耦合、稀有过程、物质—反物质不对称到极端条件下的强子物理，实验端已经把大量关键参数压到了高精度区间，理论叙述则被迫在更高分辨率下暴露结构性难点。总纲因此只将其作为“精度推进带来解释压力增加”的辅助证据，不夸大为全面崩溃。</w:t>
      </w:r>
    </w:p>
    <w:p>
      <w:pPr>
        <w:pStyle w:val="BNCFTBody"/>
        <w:spacing w:before="0" w:after="120" w:line="348" w:lineRule="auto"/>
        <w:ind w:firstLine="420"/>
        <w:jc w:val="both"/>
      </w:pPr>
      <w:r>
        <w:rPr>
          <w:rFonts w:ascii="Noto Serif CJK SC" w:hAnsi="Noto Serif CJK SC" w:eastAsia="Noto Serif CJK SC" w:cs="Noto Serif CJK SC"/>
          <w:b w:val="0"/>
          <w:i w:val="0"/>
          <w:sz w:val="22"/>
        </w:rPr>
        <w:t>原子谱学、暗物质、轴子等案例可在后续附章中作为谨慎候选项保留，但目前不应写成“普遍严重对不上”。总纲对这些方向的口径是：只作为补充观察窗口，不作为主轴论据。</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298"/>
      </w:tblGrid>
      <w:tr>
        <w:tc>
          <w:tcPr>
            <w:tcW w:type="dxa" w:w="9298"/>
            <w:shd w:fill="FFF2CC"/>
            <w:tcMar>
              <w:top w:w="100" w:type="dxa"/>
              <w:start w:w="120" w:type="dxa"/>
              <w:bottom w:w="100" w:type="dxa"/>
              <w:end w:w="120" w:type="dxa"/>
            </w:tcMar>
          </w:tcPr>
          <w:p>
            <w:pPr>
              <w:spacing w:before="0" w:after="0" w:line="307" w:lineRule="auto"/>
              <w:jc w:val="left"/>
            </w:pPr>
            <w:r>
              <w:rPr>
                <w:rFonts w:ascii="Noto Sans CJK SC" w:hAnsi="Noto Sans CJK SC" w:eastAsia="Noto Sans CJK SC" w:cs="Noto Sans CJK SC"/>
                <w:b/>
                <w:i w:val="0"/>
                <w:color w:val="1F4E79"/>
                <w:sz w:val="21"/>
              </w:rPr>
              <w:t xml:space="preserve">写作口径  </w:t>
            </w:r>
            <w:r>
              <w:rPr>
                <w:rFonts w:ascii="Noto Serif CJK SC" w:hAnsi="Noto Serif CJK SC" w:eastAsia="Noto Serif CJK SC" w:cs="Noto Serif CJK SC"/>
                <w:b w:val="0"/>
                <w:i w:val="0"/>
                <w:sz w:val="21"/>
              </w:rPr>
              <w:t>实验验证环节只服务于“为何必须继续推进研究计划”的问题意识，不越级宣称 BNCFT 已对这些实验完成解释。</w:t>
            </w:r>
          </w:p>
        </w:tc>
      </w:tr>
    </w:tbl>
    <w:p>
      <w:pPr>
        <w:spacing w:before="0" w:after="80" w:line="240" w:lineRule="auto"/>
      </w:pPr>
    </w:p>
    <w:p>
      <w:pPr>
        <w:pStyle w:val="BNCFTHeading1"/>
        <w:spacing w:before="160" w:after="120" w:line="276" w:lineRule="auto"/>
        <w:jc w:val="left"/>
      </w:pPr>
      <w:r>
        <w:rPr>
          <w:rFonts w:ascii="Noto Sans CJK SC" w:hAnsi="Noto Sans CJK SC" w:eastAsia="Noto Sans CJK SC" w:cs="Noto Sans CJK SC"/>
          <w:b/>
          <w:i w:val="0"/>
          <w:color w:val="1F4E79"/>
          <w:sz w:val="30"/>
        </w:rPr>
        <w:t>五、扩展研究方向：4+6+Xi_5</w:t>
      </w:r>
    </w:p>
    <w:p>
      <w:pPr>
        <w:pStyle w:val="BNCFTBody"/>
        <w:spacing w:before="0" w:after="120" w:line="348" w:lineRule="auto"/>
        <w:ind w:firstLine="420"/>
        <w:jc w:val="both"/>
      </w:pPr>
      <w:r>
        <w:rPr>
          <w:rFonts w:ascii="Noto Serif CJK SC" w:hAnsi="Noto Serif CJK SC" w:eastAsia="Noto Serif CJK SC" w:cs="Noto Serif CJK SC"/>
          <w:b w:val="0"/>
          <w:i w:val="0"/>
          <w:sz w:val="22"/>
        </w:rPr>
        <w:t>4+6+3 仍保留为总纲中的历史工作假设与前期内部坐标；在未完成统一重推前，不宜粗暴删除。</w:t>
      </w:r>
    </w:p>
    <w:p>
      <w:pPr>
        <w:pStyle w:val="BNCFTBody"/>
        <w:spacing w:before="0" w:after="120" w:line="348" w:lineRule="auto"/>
        <w:ind w:firstLine="420"/>
        <w:jc w:val="both"/>
      </w:pPr>
      <w:r>
        <w:rPr>
          <w:rFonts w:ascii="Noto Serif CJK SC" w:hAnsi="Noto Serif CJK SC" w:eastAsia="Noto Serif CJK SC" w:cs="Noto Serif CJK SC"/>
          <w:b w:val="0"/>
          <w:i w:val="0"/>
          <w:sz w:val="22"/>
        </w:rPr>
        <w:t>与此同时，总纲正式开放 4+6+Xi_5 的增强研究方向。这里的“+5”不代表新增五个连续几何维度，而是五重离散锚定约束，用于压缩高能侧候选真空、限制低能侧允许相空间，并为非厄米拓扑材料与超导等开放系统接口提供统一筛选骨架。</w:t>
      </w:r>
    </w:p>
    <w:p>
      <w:pPr>
        <w:pStyle w:val="BNCFTBody"/>
        <w:spacing w:before="0" w:after="120" w:line="348" w:lineRule="auto"/>
        <w:ind w:firstLine="420"/>
        <w:jc w:val="both"/>
      </w:pPr>
      <w:r>
        <w:rPr>
          <w:rFonts w:ascii="Noto Serif CJK SC" w:hAnsi="Noto Serif CJK SC" w:eastAsia="Noto Serif CJK SC" w:cs="Noto Serif CJK SC"/>
          <w:b w:val="0"/>
          <w:i w:val="0"/>
          <w:sz w:val="22"/>
        </w:rPr>
        <w:t>4+6+Xi_5 的位置是“扩展方向 / 第四编专题预备章接口”，而不是立刻取代总理论主线。它的功能，是在不破坏当前主干的前提下，为景观压缩与跨层投影提供更强的约束语言。</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099"/>
        <w:gridCol w:w="3099"/>
        <w:gridCol w:w="3099"/>
      </w:tblGrid>
      <w:tr>
        <w:tc>
          <w:tcPr>
            <w:tcW w:type="dxa" w:w="1984"/>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锚定约束</w:t>
            </w:r>
          </w:p>
        </w:tc>
        <w:tc>
          <w:tcPr>
            <w:tcW w:type="dxa" w:w="3969"/>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工作定义</w:t>
            </w:r>
          </w:p>
        </w:tc>
        <w:tc>
          <w:tcPr>
            <w:tcW w:type="dxa" w:w="3118"/>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主要功能</w:t>
            </w:r>
          </w:p>
        </w:tc>
      </w:tr>
      <w:tr>
        <w:tc>
          <w:tcPr>
            <w:tcW w:type="dxa" w:w="198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ξ1 真空选择锚</w:t>
            </w:r>
          </w:p>
        </w:tc>
        <w:tc>
          <w:tcPr>
            <w:tcW w:type="dxa" w:w="396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限制允许真空组织与粗粒化后一致的稳定分支</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压缩景观分支</w:t>
            </w:r>
          </w:p>
        </w:tc>
      </w:tr>
      <w:tr>
        <w:tc>
          <w:tcPr>
            <w:tcW w:type="dxa" w:w="198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ξ2 表示/手征锚</w:t>
            </w:r>
          </w:p>
        </w:tc>
        <w:tc>
          <w:tcPr>
            <w:tcW w:type="dxa" w:w="396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约束可接受表示内容、手征结构与费米子谱</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避免“代数可写、物理无用”</w:t>
            </w:r>
          </w:p>
        </w:tc>
      </w:tr>
      <w:tr>
        <w:tc>
          <w:tcPr>
            <w:tcW w:type="dxa" w:w="198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ξ3 异常与一致性锚</w:t>
            </w:r>
          </w:p>
        </w:tc>
        <w:tc>
          <w:tcPr>
            <w:tcW w:type="dxa" w:w="396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排除规范异常、全局不一致与耦合病态</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守住自洽性底线</w:t>
            </w:r>
          </w:p>
        </w:tc>
      </w:tr>
      <w:tr>
        <w:tc>
          <w:tcPr>
            <w:tcW w:type="dxa" w:w="198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ξ4 拓扑缺陷维度选择锚</w:t>
            </w:r>
          </w:p>
        </w:tc>
        <w:tc>
          <w:tcPr>
            <w:tcW w:type="dxa" w:w="396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筛选何种稳定缺陷得以保留</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为一维弦样对象提供约束通道</w:t>
            </w:r>
          </w:p>
        </w:tc>
      </w:tr>
      <w:tr>
        <w:tc>
          <w:tcPr>
            <w:tcW w:type="dxa" w:w="198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ξ5 开放性—耗散—配对投影锚</w:t>
            </w:r>
          </w:p>
        </w:tc>
        <w:tc>
          <w:tcPr>
            <w:tcW w:type="dxa" w:w="396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把约束骨架投影至非厄米/开放系统/超导有效理论</w:t>
            </w:r>
          </w:p>
        </w:tc>
        <w:tc>
          <w:tcPr>
            <w:tcW w:type="dxa" w:w="311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形成跨层接口</w:t>
            </w:r>
          </w:p>
        </w:tc>
      </w:tr>
    </w:tbl>
    <w:p>
      <w:pPr>
        <w:pStyle w:val="BNCFTHeading1"/>
        <w:spacing w:before="160" w:after="120" w:line="276" w:lineRule="auto"/>
        <w:jc w:val="left"/>
      </w:pPr>
      <w:r>
        <w:rPr>
          <w:rFonts w:ascii="Noto Sans CJK SC" w:hAnsi="Noto Sans CJK SC" w:eastAsia="Noto Sans CJK SC" w:cs="Noto Sans CJK SC"/>
          <w:b/>
          <w:i w:val="0"/>
          <w:color w:val="1F4E79"/>
          <w:sz w:val="30"/>
        </w:rPr>
        <w:t>六、下一步推进顺序</w:t>
      </w:r>
    </w:p>
    <w:p>
      <w:pPr>
        <w:pStyle w:val="ListNumber"/>
        <w:spacing w:before="0" w:after="60" w:line="312" w:lineRule="auto"/>
        <w:ind w:left="170"/>
        <w:jc w:val="left"/>
      </w:pPr>
      <w:r>
        <w:rPr>
          <w:rFonts w:ascii="Noto Serif CJK SC" w:hAnsi="Noto Serif CJK SC" w:eastAsia="Noto Serif CJK SC" w:cs="Noto Serif CJK SC"/>
          <w:b w:val="0"/>
          <w:i w:val="0"/>
          <w:sz w:val="22"/>
        </w:rPr>
        <w:t>第一步，锁定总纲与治理层：形成正式版总纲、状态总表、术语表与未证命题清单。</w:t>
      </w:r>
    </w:p>
    <w:p>
      <w:pPr>
        <w:pStyle w:val="ListNumber"/>
        <w:spacing w:before="0" w:after="60" w:line="312" w:lineRule="auto"/>
        <w:ind w:left="170"/>
        <w:jc w:val="left"/>
      </w:pPr>
      <w:r>
        <w:rPr>
          <w:rFonts w:ascii="Noto Serif CJK SC" w:hAnsi="Noto Serif CJK SC" w:eastAsia="Noto Serif CJK SC" w:cs="Noto Serif CJK SC"/>
          <w:b w:val="0"/>
          <w:i w:val="0"/>
          <w:sz w:val="22"/>
        </w:rPr>
        <w:t>第二步，回到第一编与第二编：重排公设、母方程、更新序与因果序，清理任何可能偷用先验时间或背景的地方。</w:t>
      </w:r>
    </w:p>
    <w:p>
      <w:pPr>
        <w:pStyle w:val="ListNumber"/>
        <w:spacing w:before="0" w:after="60" w:line="312" w:lineRule="auto"/>
        <w:ind w:left="170"/>
        <w:jc w:val="left"/>
      </w:pPr>
      <w:r>
        <w:rPr>
          <w:rFonts w:ascii="Noto Serif CJK SC" w:hAnsi="Noto Serif CJK SC" w:eastAsia="Noto Serif CJK SC" w:cs="Noto Serif CJK SC"/>
          <w:b w:val="0"/>
          <w:i w:val="0"/>
          <w:sz w:val="22"/>
        </w:rPr>
        <w:t>第三步，回填第三编：在因果/切片结构稳定后，再补几何代理、连续极限边界与可核验样例。</w:t>
      </w:r>
    </w:p>
    <w:p>
      <w:pPr>
        <w:pStyle w:val="ListNumber"/>
        <w:spacing w:before="0" w:after="60" w:line="312" w:lineRule="auto"/>
        <w:ind w:left="170"/>
        <w:jc w:val="left"/>
      </w:pPr>
      <w:r>
        <w:rPr>
          <w:rFonts w:ascii="Noto Serif CJK SC" w:hAnsi="Noto Serif CJK SC" w:eastAsia="Noto Serif CJK SC" w:cs="Noto Serif CJK SC"/>
          <w:b w:val="0"/>
          <w:i w:val="0"/>
          <w:sz w:val="22"/>
        </w:rPr>
        <w:t>第四步，推进第四编专题线：把弦样结构接口与 4+6+Xi_5 约束扩展统一到可裁决命题下，而非继续发散式命名。</w:t>
      </w:r>
    </w:p>
    <w:p>
      <w:pPr>
        <w:pStyle w:val="ListNumber"/>
        <w:spacing w:before="0" w:after="60" w:line="312" w:lineRule="auto"/>
        <w:ind w:left="170"/>
        <w:jc w:val="left"/>
      </w:pPr>
      <w:r>
        <w:rPr>
          <w:rFonts w:ascii="Noto Serif CJK SC" w:hAnsi="Noto Serif CJK SC" w:eastAsia="Noto Serif CJK SC" w:cs="Noto Serif CJK SC"/>
          <w:b w:val="0"/>
          <w:i w:val="0"/>
          <w:sz w:val="22"/>
        </w:rPr>
        <w:t>第五步，独立撰写实验验证附章：围绕 muon g−2 与 LHC 精密测量组织证据链，并明确其与 BNCFT 的关系只到“逼出问题意识”为止，不越级宣称已完成解释。</w:t>
      </w:r>
    </w:p>
    <w:p>
      <w:pPr>
        <w:pStyle w:val="BNCFTHeading2"/>
        <w:spacing w:before="80" w:after="120" w:line="276" w:lineRule="auto"/>
        <w:jc w:val="left"/>
      </w:pPr>
      <w:r>
        <w:rPr>
          <w:rFonts w:ascii="Noto Sans CJK SC" w:hAnsi="Noto Sans CJK SC" w:eastAsia="Noto Sans CJK SC" w:cs="Noto Sans CJK SC"/>
          <w:b/>
          <w:i w:val="0"/>
          <w:color w:val="1F4E79"/>
          <w:sz w:val="25"/>
        </w:rPr>
        <w:t>参考资料 / References</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Fermilab News, “Muon g-2 announces most precise measurement of the magnetic anomaly of the muon,” 3 June 2025. Official summary states that the final result reaches 127 parts-per-billion precision and exceeds the original design goal.</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Muon g-2 Theory Initiative, White Paper (2025). Official project page explicitly separates the updated review into Data-Driven HVP, Lattice HVP, Analytic HLbL and Lattice HLbL chapters, reflecting a structured theory-side split.</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Breakthrough Prize, Fundamental Physics Laureates 2026. Official laureates page states that the 2026 Breakthrough Prize in Fundamental Physics is awarded to the Muon g-2 collaborations at CERN, Brookhaven National Laboratory, and Fermilab.</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CERN, “The LHC experiment collaborations at CERN receive Breakthrough Prize,” 7 April 2025. Official release states that ATLAS, CMS, ALICE and LHCb were recognized for detailed measurements of Higgs properties, rare processes, matter–antimatter asymmetry and related Run-2 results.</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ATLAS Experiment at CERN, “A transformative leap in physics: ATLAS results from LHC Run 2,” 7 April 2025. Official feature highlights the precision frontier of Run 2 and the establishment of Higgs couplings to fermions with high-quality data.</w:t>
      </w:r>
    </w:p>
    <w:p>
      <w:r>
        <w:br w:type="page"/>
      </w:r>
    </w:p>
    <w:p>
      <w:pPr>
        <w:pStyle w:val="BNCFTHeading1"/>
        <w:spacing w:before="160" w:after="120" w:line="276" w:lineRule="auto"/>
        <w:jc w:val="left"/>
      </w:pPr>
      <w:r>
        <w:rPr>
          <w:rFonts w:ascii="Noto Sans CJK SC" w:hAnsi="Noto Sans CJK SC" w:eastAsia="Noto Sans CJK SC" w:cs="Noto Sans CJK SC"/>
          <w:b/>
          <w:i w:val="0"/>
          <w:color w:val="1F4E79"/>
          <w:sz w:val="30"/>
        </w:rPr>
        <w:t>English Companion</w:t>
      </w:r>
    </w:p>
    <w:p>
      <w:pPr>
        <w:pStyle w:val="BNCFTBody"/>
        <w:spacing w:before="0" w:after="120" w:line="348" w:lineRule="auto"/>
        <w:ind w:firstLine="420"/>
        <w:jc w:val="both"/>
      </w:pPr>
      <w:r>
        <w:rPr>
          <w:rFonts w:ascii="Noto Serif CJK SC" w:hAnsi="Noto Serif CJK SC" w:eastAsia="Noto Serif CJK SC" w:cs="Noto Serif CJK SC"/>
          <w:b w:val="0"/>
          <w:i w:val="0"/>
          <w:sz w:val="22"/>
        </w:rPr>
        <w:t>Modern physics is extraordinarily successful at the empirical level, yet that success does not automatically amount to a unified foundational picture. Quantum mechanics, quantum field theory and general relativity are each highly effective within their domains, but once one asks what an object is, what measurement is, why correlations can outrun a naively local-separable picture, or where statistical structure ultimately comes from, the explanatory architecture becomes split.</w:t>
      </w:r>
    </w:p>
    <w:p>
      <w:pPr>
        <w:pStyle w:val="BNCFTBody"/>
        <w:spacing w:before="0" w:after="120" w:line="348" w:lineRule="auto"/>
        <w:ind w:firstLine="420"/>
        <w:jc w:val="both"/>
      </w:pPr>
      <w:r>
        <w:rPr>
          <w:rFonts w:ascii="Noto Serif CJK SC" w:hAnsi="Noto Serif CJK SC" w:eastAsia="Noto Serif CJK SC" w:cs="Noto Serif CJK SC"/>
          <w:b w:val="0"/>
          <w:i w:val="0"/>
          <w:sz w:val="22"/>
        </w:rPr>
        <w:t>The motivation of BNCFT is therefore not a reaction against one isolated anomaly. It comes from the broader observation that many so-called non-classical phenomena press against the same deeper fault line: if one insists that the world is fundamentally composed of independently complete local objects, patched upward by additional rules, the theory repeatedly develops cracks between global coherence, empirical adequacy and conceptual intelligibility.</w:t>
      </w:r>
    </w:p>
    <w:p>
      <w:pPr>
        <w:pStyle w:val="BNCFTBody"/>
        <w:spacing w:before="0" w:after="120" w:line="348" w:lineRule="auto"/>
        <w:ind w:firstLine="420"/>
        <w:jc w:val="both"/>
      </w:pPr>
      <w:r>
        <w:rPr>
          <w:rFonts w:ascii="Noto Serif CJK SC" w:hAnsi="Noto Serif CJK SC" w:eastAsia="Noto Serif CJK SC" w:cs="Noto Serif CJK SC"/>
          <w:b w:val="0"/>
          <w:i w:val="0"/>
          <w:sz w:val="22"/>
        </w:rPr>
        <w:t>The general outline thus treats the background-free nonlinear common field not as an already completed final theory, but as a research direction to be constructed, checked and—if necessary—rolled back. The role of the outline is to keep the research object, writing boundary, hard constraints, volume division, experimental-validation axis and future extensions on one long-term backbone.</w:t>
      </w:r>
    </w:p>
    <w:p>
      <w:pPr>
        <w:pStyle w:val="BNCFTHeading2"/>
        <w:spacing w:before="80" w:after="120" w:line="276" w:lineRule="auto"/>
        <w:jc w:val="left"/>
      </w:pPr>
      <w:r>
        <w:rPr>
          <w:rFonts w:ascii="Noto Sans CJK SC" w:hAnsi="Noto Sans CJK SC" w:eastAsia="Noto Sans CJK SC" w:cs="Noto Sans CJK SC"/>
          <w:b/>
          <w:i w:val="0"/>
          <w:color w:val="1F4E79"/>
          <w:sz w:val="25"/>
        </w:rPr>
        <w:t>Boundary and hard constraints</w:t>
      </w:r>
    </w:p>
    <w:p>
      <w:pPr>
        <w:pStyle w:val="ListNumber"/>
        <w:spacing w:before="0" w:after="60" w:line="312" w:lineRule="auto"/>
        <w:ind w:left="170"/>
        <w:jc w:val="left"/>
      </w:pPr>
      <w:r>
        <w:rPr>
          <w:rFonts w:ascii="Noto Serif CJK SC" w:hAnsi="Noto Serif CJK SC" w:eastAsia="Noto Serif CJK SC" w:cs="Noto Serif CJK SC"/>
          <w:b w:val="0"/>
          <w:i w:val="0"/>
          <w:sz w:val="22"/>
        </w:rPr>
        <w:t>This outline does not claim that BNCFT has already been fully proved; it only locks the research backbone, version boundary and minimum construction principles.</w:t>
      </w:r>
    </w:p>
    <w:p>
      <w:pPr>
        <w:pStyle w:val="ListNumber"/>
        <w:spacing w:before="0" w:after="60" w:line="312" w:lineRule="auto"/>
        <w:ind w:left="170"/>
        <w:jc w:val="left"/>
      </w:pPr>
      <w:r>
        <w:rPr>
          <w:rFonts w:ascii="Noto Serif CJK SC" w:hAnsi="Noto Serif CJK SC" w:eastAsia="Noto Serif CJK SC" w:cs="Noto Serif CJK SC"/>
          <w:b w:val="0"/>
          <w:i w:val="0"/>
          <w:sz w:val="22"/>
        </w:rPr>
        <w:t>Any strong phrasing such as ‘strictly derived’, ‘necessarily emergent’ or ‘landscape solved’ must be downgraded to ‘candidate mechanism’, ‘interface manuscript’ or ‘proposition to be tested’ unless a truly adjudicable derivation is available.</w:t>
      </w:r>
    </w:p>
    <w:p>
      <w:pPr>
        <w:pStyle w:val="ListNumber"/>
        <w:spacing w:before="0" w:after="60" w:line="312" w:lineRule="auto"/>
        <w:ind w:left="170"/>
        <w:jc w:val="left"/>
      </w:pPr>
      <w:r>
        <w:rPr>
          <w:rFonts w:ascii="Noto Serif CJK SC" w:hAnsi="Noto Serif CJK SC" w:eastAsia="Noto Serif CJK SC" w:cs="Noto Serif CJK SC"/>
          <w:b w:val="0"/>
          <w:i w:val="0"/>
          <w:sz w:val="22"/>
        </w:rPr>
        <w:t>The formal name and background-free axis of BNCFT are retained, but the ontic, interface and phenomenal layers must be kept distinct so that an effective expression is not mistaken for the ontic starting point.</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Continuous-manifold language must never be smuggled in as the ontic starting point; if BF-type, effective-field-theory or geometry-interface language is used, it must be declared a coarse-grained interface projection.</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No new concept may remain a decorative label: each added structure should come with a minimum verification route, a rollback action and an assigned destination volume.</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No isolated interface manuscript may be over-promoted into completion of the whole theory; Volume IV and its topical drafts are to be treated as preparatory/interface chapters.</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The experimental-validation section will include only representative cases in which experimental precision is high while theory shows branching or bottlenecks: muon g−2 is the main axis, the 2025 LHC precision programme is auxiliary, and other cases are treated cautiously.</w:t>
      </w:r>
    </w:p>
    <w:p>
      <w:pPr>
        <w:pStyle w:val="BNCFTHeading2"/>
        <w:spacing w:before="80" w:after="120" w:line="276" w:lineRule="auto"/>
        <w:jc w:val="left"/>
      </w:pPr>
      <w:r>
        <w:rPr>
          <w:rFonts w:ascii="Noto Sans CJK SC" w:hAnsi="Noto Sans CJK SC" w:eastAsia="Noto Sans CJK SC" w:cs="Noto Sans CJK SC"/>
          <w:b/>
          <w:i w:val="0"/>
          <w:color w:val="1F4E79"/>
          <w:sz w:val="25"/>
        </w:rPr>
        <w:t>Volume structure</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24"/>
        <w:gridCol w:w="2324"/>
        <w:gridCol w:w="2324"/>
        <w:gridCol w:w="2324"/>
      </w:tblGrid>
      <w:tr>
        <w:tc>
          <w:tcPr>
            <w:tcW w:type="dxa" w:w="153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Part</w:t>
            </w:r>
          </w:p>
        </w:tc>
        <w:tc>
          <w:tcPr>
            <w:tcW w:type="dxa" w:w="3515"/>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Core task</w:t>
            </w:r>
          </w:p>
        </w:tc>
        <w:tc>
          <w:tcPr>
            <w:tcW w:type="dxa" w:w="1757"/>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Current status</w:t>
            </w:r>
          </w:p>
        </w:tc>
        <w:tc>
          <w:tcPr>
            <w:tcW w:type="dxa" w:w="289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Comment</w:t>
            </w:r>
          </w:p>
        </w:tc>
      </w:tr>
      <w:tr>
        <w:tc>
          <w:tcPr>
            <w:tcW w:type="dxa" w:w="1531"/>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General Introduction</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Research motivation and problem statement</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Merged</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Front conceptual entry</w:t>
            </w:r>
          </w:p>
        </w:tc>
      </w:tr>
      <w:tr>
        <w:tc>
          <w:tcPr>
            <w:tcW w:type="dxa" w:w="1531"/>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Background-free red lines, axioms, master equation and minimum propositions</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re-derived</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Primary foundation</w:t>
            </w:r>
          </w:p>
        </w:tc>
      </w:tr>
      <w:tr>
        <w:tc>
          <w:tcPr>
            <w:tcW w:type="dxa" w:w="1531"/>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II</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Update order, causal order, time and slicing</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Needs alignment</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Causality/time axis</w:t>
            </w:r>
          </w:p>
        </w:tc>
      </w:tr>
      <w:tr>
        <w:tc>
          <w:tcPr>
            <w:tcW w:type="dxa" w:w="1531"/>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III</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Discrete-geometry interface, curvature proxies, continuum limits</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backfilled</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Geometry axis</w:t>
            </w:r>
          </w:p>
        </w:tc>
      </w:tr>
      <w:tr>
        <w:tc>
          <w:tcPr>
            <w:tcW w:type="dxa" w:w="1531"/>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IV</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High-energy interfaces and extension: string-like structures, 6D internal geometry, 4+6+Xi_5</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Preparatory chapter built in this package</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Interface/extension axis</w:t>
            </w:r>
          </w:p>
        </w:tc>
      </w:tr>
      <w:tr>
        <w:tc>
          <w:tcPr>
            <w:tcW w:type="dxa" w:w="1531"/>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Validation Appendix</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muon g−2, LHC precision results, and carefully framed high-precision/theory-bottleneck cases</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merged</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External validation axis</w:t>
            </w:r>
          </w:p>
        </w:tc>
      </w:tr>
      <w:tr>
        <w:tc>
          <w:tcPr>
            <w:tcW w:type="dxa" w:w="1531"/>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Governance Layer</w:t>
            </w:r>
          </w:p>
        </w:tc>
        <w:tc>
          <w:tcPr>
            <w:tcW w:type="dxa" w:w="351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Terminology, versioning and unproved propositions</w:t>
            </w:r>
          </w:p>
        </w:tc>
        <w:tc>
          <w:tcPr>
            <w:tcW w:type="dxa" w:w="175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Built in this package</w:t>
            </w:r>
          </w:p>
        </w:tc>
        <w:tc>
          <w:tcPr>
            <w:tcW w:type="dxa" w:w="28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Governance axis</w:t>
            </w:r>
          </w:p>
        </w:tc>
      </w:tr>
    </w:tbl>
    <w:p>
      <w:pPr>
        <w:pStyle w:val="BNCFTHeading2"/>
        <w:spacing w:before="80" w:after="120" w:line="276" w:lineRule="auto"/>
        <w:jc w:val="left"/>
      </w:pPr>
      <w:r>
        <w:rPr>
          <w:rFonts w:ascii="Noto Sans CJK SC" w:hAnsi="Noto Sans CJK SC" w:eastAsia="Noto Sans CJK SC" w:cs="Noto Sans CJK SC"/>
          <w:b/>
          <w:i w:val="0"/>
          <w:color w:val="1F4E79"/>
          <w:sz w:val="25"/>
        </w:rPr>
        <w:t>Experimental-validation axis</w:t>
      </w:r>
    </w:p>
    <w:p>
      <w:pPr>
        <w:pStyle w:val="BNCFTBody"/>
        <w:spacing w:before="0" w:after="120" w:line="348" w:lineRule="auto"/>
        <w:ind w:firstLine="420"/>
        <w:jc w:val="both"/>
      </w:pPr>
      <w:r>
        <w:rPr>
          <w:rFonts w:ascii="Noto Serif CJK SC" w:hAnsi="Noto Serif CJK SC" w:eastAsia="Noto Serif CJK SC" w:cs="Noto Serif CJK SC"/>
          <w:b w:val="0"/>
          <w:i w:val="0"/>
          <w:sz w:val="22"/>
        </w:rPr>
        <w:t>The purpose of the experimental-validation section is not to compile a list of mismatches, but to identify a more compelling pattern: the experimental object is precise and well-defined, yet the theoretical interpretation branches, reorganises or reaches a bottleneck, thereby forcing a re-examination of the underlying organisational picture.</w:t>
      </w:r>
    </w:p>
    <w:p>
      <w:pPr>
        <w:pStyle w:val="BNCFTBody"/>
        <w:spacing w:before="0" w:after="120" w:line="348" w:lineRule="auto"/>
        <w:ind w:firstLine="420"/>
        <w:jc w:val="both"/>
      </w:pPr>
      <w:r>
        <w:rPr>
          <w:rFonts w:ascii="Noto Serif CJK SC" w:hAnsi="Noto Serif CJK SC" w:eastAsia="Noto Serif CJK SC" w:cs="Noto Serif CJK SC"/>
          <w:b w:val="0"/>
          <w:i w:val="0"/>
          <w:sz w:val="22"/>
        </w:rPr>
        <w:t>By this criterion, muon g−2 is the strongest present main axis. Fermilab’s third and final result, released in 2025, reached 127-ppb precision; the experimental side is exceptionally mature, while the theory side has become visibly stratified around data-driven versus lattice organisation of the hadronic contribution. The 2026 Breakthrough Prize awarded to the CERN, Brookhaven and Fermilab Muon g−2 collaborations further reinforces the case’s symbolic weight.</w:t>
      </w:r>
    </w:p>
    <w:p>
      <w:pPr>
        <w:pStyle w:val="BNCFTBody"/>
        <w:spacing w:before="0" w:after="120" w:line="348" w:lineRule="auto"/>
        <w:ind w:firstLine="420"/>
        <w:jc w:val="both"/>
      </w:pPr>
      <w:r>
        <w:rPr>
          <w:rFonts w:ascii="Noto Serif CJK SC" w:hAnsi="Noto Serif CJK SC" w:eastAsia="Noto Serif CJK SC" w:cs="Noto Serif CJK SC"/>
          <w:b w:val="0"/>
          <w:i w:val="0"/>
          <w:sz w:val="22"/>
        </w:rPr>
        <w:t>The 2025 LHC Run-2 precision programme is the auxiliary axis. Its significance is not that the Standard Model has wholly failed, but that high-precision measurements of Higgs couplings, rare processes, matter–antimatter asymmetry and strongly interacting systems are forcing theory to expose more structural difficulty at finer resolution. The outline therefore treats this only as auxiliary evidence that precision can increase explanatory pressure.</w:t>
      </w:r>
    </w:p>
    <w:p>
      <w:pPr>
        <w:pStyle w:val="BNCFTBody"/>
        <w:spacing w:before="0" w:after="120" w:line="348" w:lineRule="auto"/>
        <w:ind w:firstLine="420"/>
        <w:jc w:val="both"/>
      </w:pPr>
      <w:r>
        <w:rPr>
          <w:rFonts w:ascii="Noto Serif CJK SC" w:hAnsi="Noto Serif CJK SC" w:eastAsia="Noto Serif CJK SC" w:cs="Noto Serif CJK SC"/>
          <w:b w:val="0"/>
          <w:i w:val="0"/>
          <w:sz w:val="22"/>
        </w:rPr>
        <w:t>Atomic spectroscopy, dark-matter and axion cases may remain as cautious reserve items in later appendices, but should not presently be written up as a universal and severe breakdown. Within the outline they remain supplementary observation windows rather than the main evidentiary axis.</w:t>
      </w:r>
    </w:p>
    <w:p>
      <w:pPr>
        <w:pStyle w:val="BNCFTHeading2"/>
        <w:spacing w:before="80" w:after="120" w:line="276" w:lineRule="auto"/>
        <w:jc w:val="left"/>
      </w:pPr>
      <w:r>
        <w:rPr>
          <w:rFonts w:ascii="Noto Sans CJK SC" w:hAnsi="Noto Sans CJK SC" w:eastAsia="Noto Sans CJK SC" w:cs="Noto Sans CJK SC"/>
          <w:b/>
          <w:i w:val="0"/>
          <w:color w:val="1F4E79"/>
          <w:sz w:val="25"/>
        </w:rPr>
        <w:t>4+6+Xi_5 extension direction</w:t>
      </w:r>
    </w:p>
    <w:p>
      <w:pPr>
        <w:pStyle w:val="BNCFTBody"/>
        <w:spacing w:before="0" w:after="120" w:line="348" w:lineRule="auto"/>
        <w:ind w:firstLine="420"/>
        <w:jc w:val="both"/>
      </w:pPr>
      <w:r>
        <w:rPr>
          <w:rFonts w:ascii="Noto Serif CJK SC" w:hAnsi="Noto Serif CJK SC" w:eastAsia="Noto Serif CJK SC" w:cs="Noto Serif CJK SC"/>
          <w:b w:val="0"/>
          <w:i w:val="0"/>
          <w:sz w:val="22"/>
        </w:rPr>
        <w:t>The 4+6+3 scheme is retained as a historical working hypothesis and an internal coordinate from earlier stages; before a unified re-derivation is completed, it should not be removed crudely.</w:t>
      </w:r>
    </w:p>
    <w:p>
      <w:pPr>
        <w:pStyle w:val="BNCFTBody"/>
        <w:spacing w:before="0" w:after="120" w:line="348" w:lineRule="auto"/>
        <w:ind w:firstLine="420"/>
        <w:jc w:val="both"/>
      </w:pPr>
      <w:r>
        <w:rPr>
          <w:rFonts w:ascii="Noto Serif CJK SC" w:hAnsi="Noto Serif CJK SC" w:eastAsia="Noto Serif CJK SC" w:cs="Noto Serif CJK SC"/>
          <w:b w:val="0"/>
          <w:i w:val="0"/>
          <w:sz w:val="22"/>
        </w:rPr>
        <w:t>At the same time, the outline formally opens the enhanced 4+6+Xi_5 direction. Here the ‘+5’ does not denote five new continuous geometric dimensions, but five discrete anchoring constraints designed to compress high-energy candidate vacua, restrict low-energy allowed phase space, and offer a common filtering skeleton for non-Hermitian/topological-superconducting/open-system interfaces.</w:t>
      </w:r>
    </w:p>
    <w:p>
      <w:pPr>
        <w:pStyle w:val="BNCFTBody"/>
        <w:spacing w:before="0" w:after="120" w:line="348" w:lineRule="auto"/>
        <w:ind w:firstLine="420"/>
        <w:jc w:val="both"/>
      </w:pPr>
      <w:r>
        <w:rPr>
          <w:rFonts w:ascii="Noto Serif CJK SC" w:hAnsi="Noto Serif CJK SC" w:eastAsia="Noto Serif CJK SC" w:cs="Noto Serif CJK SC"/>
          <w:b w:val="0"/>
          <w:i w:val="0"/>
          <w:sz w:val="22"/>
        </w:rPr>
        <w:t>The place of 4+6+Xi_5 is therefore ‘extension direction / preparatory interface chapter of Volume IV’, not an immediate replacement of the theory’s main backbone.</w:t>
      </w:r>
    </w:p>
    <w:p>
      <w:pPr>
        <w:pStyle w:val="BNCFTHeading2"/>
        <w:spacing w:before="80" w:after="120" w:line="276" w:lineRule="auto"/>
        <w:jc w:val="left"/>
      </w:pPr>
      <w:r>
        <w:rPr>
          <w:rFonts w:ascii="Noto Sans CJK SC" w:hAnsi="Noto Sans CJK SC" w:eastAsia="Noto Sans CJK SC" w:cs="Noto Sans CJK SC"/>
          <w:b/>
          <w:i w:val="0"/>
          <w:color w:val="1F4E79"/>
          <w:sz w:val="25"/>
        </w:rPr>
        <w:t>Recommended rollout order</w:t>
      </w:r>
    </w:p>
    <w:p>
      <w:pPr>
        <w:pStyle w:val="ListNumber"/>
        <w:spacing w:before="0" w:after="60" w:line="312" w:lineRule="auto"/>
        <w:ind w:left="170"/>
        <w:jc w:val="left"/>
      </w:pPr>
      <w:r>
        <w:rPr>
          <w:rFonts w:ascii="Noto Serif CJK SC" w:hAnsi="Noto Serif CJK SC" w:eastAsia="Noto Serif CJK SC" w:cs="Noto Serif CJK SC"/>
          <w:b w:val="0"/>
          <w:i w:val="0"/>
          <w:sz w:val="22"/>
        </w:rPr>
        <w:t>Step 1: lock the outline and governance layer, including the formal outline, status table, terminology table and the unproved-proposition list.</w:t>
      </w:r>
    </w:p>
    <w:p>
      <w:pPr>
        <w:pStyle w:val="ListNumber"/>
        <w:spacing w:before="0" w:after="60" w:line="312" w:lineRule="auto"/>
        <w:ind w:left="170"/>
        <w:jc w:val="left"/>
      </w:pPr>
      <w:r>
        <w:rPr>
          <w:rFonts w:ascii="Noto Serif CJK SC" w:hAnsi="Noto Serif CJK SC" w:eastAsia="Noto Serif CJK SC" w:cs="Noto Serif CJK SC"/>
          <w:b w:val="0"/>
          <w:i w:val="0"/>
          <w:sz w:val="22"/>
        </w:rPr>
        <w:t>Step 2: return to Volumes I and II, reordering axioms, the master equation, update order and causal order, while eliminating any hidden use of prior time or background.</w:t>
      </w:r>
    </w:p>
    <w:p>
      <w:pPr>
        <w:pStyle w:val="ListNumber"/>
        <w:spacing w:before="0" w:after="60" w:line="312" w:lineRule="auto"/>
        <w:ind w:left="170"/>
        <w:jc w:val="left"/>
      </w:pPr>
      <w:r>
        <w:rPr>
          <w:rFonts w:ascii="Noto Serif CJK SC" w:hAnsi="Noto Serif CJK SC" w:eastAsia="Noto Serif CJK SC" w:cs="Noto Serif CJK SC"/>
          <w:b w:val="0"/>
          <w:i w:val="0"/>
          <w:sz w:val="22"/>
        </w:rPr>
        <w:t>Step 3: backfill Volume III only after the causal/slicing structure stabilises, adding geometric proxies, continuum-limit boundaries and checkable examples.</w:t>
      </w:r>
    </w:p>
    <w:p>
      <w:pPr>
        <w:pStyle w:val="ListNumber"/>
        <w:spacing w:before="0" w:after="60" w:line="312" w:lineRule="auto"/>
        <w:ind w:left="170"/>
        <w:jc w:val="left"/>
      </w:pPr>
      <w:r>
        <w:rPr>
          <w:rFonts w:ascii="Noto Serif CJK SC" w:hAnsi="Noto Serif CJK SC" w:eastAsia="Noto Serif CJK SC" w:cs="Noto Serif CJK SC"/>
          <w:b w:val="0"/>
          <w:i w:val="0"/>
          <w:sz w:val="22"/>
        </w:rPr>
        <w:t>Step 4: advance the Volume IV topical line by unifying the string-origin interface and the 4+6+Xi_5 extension under adjudicable propositions rather than continued free naming.</w:t>
      </w:r>
    </w:p>
    <w:p>
      <w:pPr>
        <w:pStyle w:val="ListNumber"/>
        <w:spacing w:before="0" w:after="60" w:line="312" w:lineRule="auto"/>
        <w:ind w:left="170"/>
        <w:jc w:val="left"/>
      </w:pPr>
      <w:r>
        <w:rPr>
          <w:rFonts w:ascii="Noto Serif CJK SC" w:hAnsi="Noto Serif CJK SC" w:eastAsia="Noto Serif CJK SC" w:cs="Noto Serif CJK SC"/>
          <w:b w:val="0"/>
          <w:i w:val="0"/>
          <w:sz w:val="22"/>
        </w:rPr>
        <w:t>Step 5: write the experimental-validation appendix independently, centred on muon g−2 and LHC precision measurements, and keep the link to BNCFT at the level of problem pressure rather than overclaiming a completed explanation.</w:t>
      </w:r>
    </w:p>
    <w:p>
      <w:pPr>
        <w:pStyle w:val="BNCFTHeading2"/>
        <w:spacing w:before="80" w:after="120" w:line="276" w:lineRule="auto"/>
        <w:jc w:val="left"/>
      </w:pPr>
      <w:r>
        <w:rPr>
          <w:rFonts w:ascii="Noto Sans CJK SC" w:hAnsi="Noto Sans CJK SC" w:eastAsia="Noto Sans CJK SC" w:cs="Noto Sans CJK SC"/>
          <w:b/>
          <w:i w:val="0"/>
          <w:color w:val="1F4E79"/>
          <w:sz w:val="25"/>
        </w:rPr>
        <w:t>参考资料 / References</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Fermilab News, “Muon g-2 announces most precise measurement of the magnetic anomaly of the muon,” 3 June 2025. Official summary states that the final result reaches 127 parts-per-billion precision and exceeds the original design goal.</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Muon g-2 Theory Initiative, White Paper (2025). Official project page explicitly separates the updated review into Data-Driven HVP, Lattice HVP, Analytic HLbL and Lattice HLbL chapters, reflecting a structured theory-side split.</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Breakthrough Prize, Fundamental Physics Laureates 2026. Official laureates page states that the 2026 Breakthrough Prize in Fundamental Physics is awarded to the Muon g-2 collaborations at CERN, Brookhaven National Laboratory, and Fermilab.</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CERN, “The LHC experiment collaborations at CERN receive Breakthrough Prize,” 7 April 2025. Official release states that ATLAS, CMS, ALICE and LHCb were recognized for detailed measurements of Higgs properties, rare processes, matter–antimatter asymmetry and related Run-2 results.</w:t>
      </w:r>
    </w:p>
    <w:p>
      <w:pPr>
        <w:pStyle w:val="BNCFTBody"/>
        <w:spacing w:before="0" w:after="40" w:line="288" w:lineRule="auto"/>
        <w:ind w:firstLine="0" w:left="283"/>
      </w:pPr>
      <w:r>
        <w:rPr>
          <w:rFonts w:ascii="Noto Serif CJK SC" w:hAnsi="Noto Serif CJK SC" w:eastAsia="Noto Serif CJK SC" w:cs="Noto Serif CJK SC"/>
          <w:b w:val="0"/>
          <w:i w:val="0"/>
          <w:color w:val="595959"/>
          <w:sz w:val="19"/>
        </w:rPr>
        <w:t>ATLAS Experiment at CERN, “A transformative leap in physics: ATLAS results from LHC Run 2,” 7 April 2025. Official feature highlights the precision frontier of Run 2 and the establishment of Higgs couplings to fermions with high-quality data.</w:t>
      </w:r>
    </w:p>
    <w:sectPr w:rsidR="00FC693F" w:rsidRPr="0006063C" w:rsidSect="00034616">
      <w:headerReference w:type="default" r:id="rId9"/>
      <w:footerReference w:type="default" r:id="rId10"/>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CJK SC" w:hAnsi="Noto Sans CJK SC" w:eastAsia="Noto Sans CJK SC" w:cs="Noto Sans CJK SC"/>
        <w:b w:val="0"/>
        <w:i w:val="0"/>
        <w:color w:val="595959"/>
        <w:sz w:val="17"/>
      </w:rPr>
      <w:t xml:space="preserve">BNCFT · </w:t>
    </w:r>
    <w:r>
      <w:rPr>
        <w:rFonts w:ascii="Noto Serif CJK SC" w:hAnsi="Noto Serif CJK SC" w:eastAsia="Noto Serif CJK SC" w:cs="Noto Serif CJK SC"/>
        <w:b w:val="0"/>
        <w:i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oto Sans CJK SC" w:hAnsi="Noto Sans CJK SC" w:eastAsia="Noto Sans CJK SC" w:cs="Noto Sans CJK SC"/>
        <w:b w:val="0"/>
        <w:i w:val="0"/>
        <w:color w:val="595959"/>
        <w:sz w:val="17"/>
      </w:rPr>
      <w:t>BNCFT General Outline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NCFTBody">
    <w:name w:val="BNCFT Body"/>
    <w:rPr>
      <w:rFonts w:ascii="Noto Serif CJK SC" w:hAnsi="Noto Serif CJK SC" w:eastAsia="Noto Serif CJK SC"/>
      <w:sz w:val="22"/>
    </w:rPr>
  </w:style>
  <w:style w:type="paragraph" w:customStyle="1" w:styleId="BNCFTHeading1">
    <w:name w:val="BNCFT Heading 1"/>
    <w:rPr>
      <w:rFonts w:ascii="Noto Sans CJK SC" w:hAnsi="Noto Sans CJK SC" w:eastAsia="Noto Sans CJK SC"/>
      <w:b/>
      <w:color w:val="1F4E79"/>
      <w:sz w:val="30"/>
    </w:rPr>
  </w:style>
  <w:style w:type="paragraph" w:customStyle="1" w:styleId="BNCFTHeading2">
    <w:name w:val="BNCFT Heading 2"/>
    <w:rPr>
      <w:rFonts w:ascii="Noto Sans CJK SC" w:hAnsi="Noto Sans CJK SC" w:eastAsia="Noto Sans CJK SC"/>
      <w:b/>
      <w:color w:val="1F4E7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