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Title"/>
      </w:pPr>
      <w:r>
        <w:t>无背景非线性共享场理论（BNCFT）总纲（研究引言合并版）</w:t>
      </w:r>
    </w:p>
    <w:p>
      <w:pPr>
        <w:pStyle w:val="MySubtitle"/>
      </w:pPr>
      <w:r>
        <w:t>General Outline of Background-Free Nonlinear Common Field Theory with Integrated Research Introduction</w:t>
      </w:r>
    </w:p>
    <w:p>
      <w:pPr>
        <w:jc w:val="center"/>
      </w:pPr>
      <w:r>
        <w:rPr>
          <w:rFonts w:ascii="Noto Serif CJK SC" w:hAnsi="Noto Serif CJK SC" w:eastAsia="Noto Serif CJK SC"/>
          <w:b w:val="0"/>
          <w:i w:val="0"/>
          <w:color w:val="444444"/>
          <w:sz w:val="22"/>
        </w:rPr>
        <w:t>作者：吴启明    邮箱：467274520@qq.com</w:t>
      </w:r>
    </w:p>
    <w:p>
      <w:pPr>
        <w:jc w:val="center"/>
      </w:pPr>
      <w:r>
        <w:rPr>
          <w:rFonts w:ascii="Noto Serif CJK SC" w:hAnsi="Noto Serif CJK SC" w:eastAsia="Noto Serif CJK SC"/>
          <w:b w:val="0"/>
          <w:i w:val="0"/>
          <w:color w:val="444444"/>
          <w:sz w:val="22"/>
        </w:rPr>
        <w:t>版本：V1    日期：2026-04-20</w:t>
      </w:r>
    </w:p>
    <w:tbl>
      <w:tblPr>
        <w:tblW w:type="auto" w:w="0"/>
        <w:jc w:val="center"/>
        <w:tblLayout w:type="fixed"/>
        <w:tblLook w:firstColumn="1" w:firstRow="1" w:lastColumn="0" w:lastRow="0" w:noHBand="0" w:noVBand="1" w:val="04A0"/>
      </w:tblPr>
      <w:tblGrid>
        <w:gridCol w:w="8957"/>
      </w:tblGrid>
      <w:tr>
        <w:tc>
          <w:tcPr>
            <w:tcW w:type="dxa" w:w="8957"/>
            <w:tcMar>
              <w:top w:w="120" w:type="dxa"/>
              <w:start w:w="130" w:type="dxa"/>
              <w:bottom w:w="120" w:type="dxa"/>
              <w:end w:w="130" w:type="dxa"/>
            </w:tcMar>
            <w:shd w:fill="F3F7FB"/>
            <w:vAlign w:val="center"/>
          </w:tcPr>
          <w:p>
            <w:pPr>
              <w:jc w:val="left"/>
            </w:pPr>
            <w:r/>
            <w:r>
              <w:rPr>
                <w:rFonts w:ascii="Noto Serif CJK SC" w:hAnsi="Noto Serif CJK SC" w:eastAsia="Noto Serif CJK SC"/>
                <w:b w:val="0"/>
                <w:i w:val="0"/>
                <w:color w:val="333333"/>
                <w:sz w:val="21"/>
              </w:rPr>
              <w:t>文档用途：将《BNCFT 研究引言（总纲对齐版）》正式并入现有总纲，形成“问题提出 + 研究程序”一体化版本。</w:t>
            </w:r>
          </w:p>
        </w:tc>
      </w:tr>
      <w:tr>
        <w:tc>
          <w:tcPr>
            <w:tcW w:type="dxa" w:w="8957"/>
            <w:tcMar>
              <w:top w:w="120" w:type="dxa"/>
              <w:start w:w="130" w:type="dxa"/>
              <w:bottom w:w="120" w:type="dxa"/>
              <w:end w:w="130" w:type="dxa"/>
            </w:tcMar>
            <w:shd w:fill="FAFBFD"/>
            <w:vAlign w:val="center"/>
          </w:tcPr>
          <w:p>
            <w:pPr>
              <w:jc w:val="left"/>
            </w:pPr>
            <w:r/>
            <w:r>
              <w:rPr>
                <w:rFonts w:ascii="Noto Serif CJK SC" w:hAnsi="Noto Serif CJK SC" w:eastAsia="Noto Serif CJK SC"/>
                <w:b w:val="0"/>
                <w:i w:val="0"/>
                <w:color w:val="333333"/>
                <w:sz w:val="21"/>
              </w:rPr>
              <w:t>编者说明：本版统一采用“无背景非线性共享场理论（BNCFT）”作为正式名称；原总纲中关于非交换矩阵网络、预几何桥梁与 4+6+3 的表述，保留为当前研究程序中的候选技术路线与工作假设，不自动上升为终局结论。</w:t>
            </w:r>
          </w:p>
        </w:tc>
      </w:tr>
    </w:tbl>
    <w:p/>
    <w:p>
      <w:pPr>
        <w:pStyle w:val="NoteBox"/>
        <w:keepLines/>
      </w:pPr>
      <w:r>
        <w:rPr>
          <w:rFonts w:ascii="Noto Serif CJK SC" w:hAnsi="Noto Serif CJK SC" w:eastAsia="Noto Serif CJK SC"/>
          <w:b w:val="0"/>
          <w:i/>
          <w:color w:val="555555"/>
          <w:sz w:val="20"/>
        </w:rPr>
        <w:t>English companion note: this merged edition adds an English companion for the newly inserted research introduction, while the main outline body remains in Chinese so as to preserve the current working structure of the original outline.</w:t>
      </w:r>
    </w:p>
    <w:p>
      <w:r>
        <w:br w:type="page"/>
      </w:r>
    </w:p>
    <w:p>
      <w:pPr>
        <w:pStyle w:val="Heading1"/>
        <w:keepNext/>
      </w:pPr>
      <w:r>
        <w:t>总引言｜为什么要开展 BNCFT 研究</w:t>
      </w:r>
    </w:p>
    <w:p>
      <w:pPr>
        <w:pStyle w:val="NoteBox"/>
      </w:pPr>
      <w:r>
        <w:rPr>
          <w:rFonts w:ascii="Noto Serif CJK SC" w:hAnsi="Noto Serif CJK SC" w:eastAsia="Noto Serif CJK SC"/>
          <w:b w:val="0"/>
          <w:i w:val="0"/>
          <w:color w:val="4A4A4A"/>
          <w:sz w:val="21"/>
        </w:rPr>
        <w:t>本部分来自《BNCFT 研究引言（总纲对齐版）》，现正式并入总纲前部，作为全书的问题提出稿、研究缘起稿与后续章节的概念入口。</w:t>
      </w:r>
    </w:p>
    <w:tbl>
      <w:tblPr>
        <w:tblW w:type="auto" w:w="0"/>
        <w:jc w:val="center"/>
        <w:tblLayout w:type="fixed"/>
        <w:tblLook w:firstColumn="1" w:firstRow="1" w:lastColumn="0" w:lastRow="0" w:noHBand="0" w:noVBand="1" w:val="04A0"/>
      </w:tblPr>
      <w:tblGrid>
        <w:gridCol w:w="4309"/>
        <w:gridCol w:w="4309"/>
      </w:tblGrid>
      <w:tr>
        <w:tc>
          <w:tcPr>
            <w:tcW w:type="dxa" w:w="4649"/>
            <w:shd w:fill="EEF3F8"/>
            <w:tcMar>
              <w:top w:w="90" w:type="dxa"/>
              <w:start w:w="90" w:type="dxa"/>
              <w:bottom w:w="90" w:type="dxa"/>
              <w:end w:w="90" w:type="dxa"/>
            </w:tcMar>
            <w:vAlign w:val="center"/>
          </w:tcPr>
          <w:p>
            <w:pPr>
              <w:jc w:val="center"/>
            </w:pPr>
            <w:r/>
            <w:r>
              <w:rPr>
                <w:rFonts w:ascii="Noto Serif CJK SC" w:hAnsi="Noto Serif CJK SC" w:eastAsia="Noto Serif CJK SC"/>
                <w:b w:val="0"/>
                <w:i w:val="0"/>
                <w:color w:val="333333"/>
                <w:sz w:val="21"/>
              </w:rPr>
              <w:t>作者：吴启明    邮箱：467274520@qq.com</w:t>
            </w:r>
          </w:p>
        </w:tc>
        <w:tc>
          <w:tcPr>
            <w:tcW w:type="dxa" w:w="4649"/>
            <w:shd w:fill="EEF3F8"/>
            <w:tcMar>
              <w:top w:w="90" w:type="dxa"/>
              <w:start w:w="90" w:type="dxa"/>
              <w:bottom w:w="90" w:type="dxa"/>
              <w:end w:w="90" w:type="dxa"/>
            </w:tcMar>
            <w:vAlign w:val="center"/>
          </w:tcPr>
          <w:p>
            <w:pPr>
              <w:jc w:val="center"/>
            </w:pPr>
            <w:r/>
            <w:r>
              <w:rPr>
                <w:rFonts w:ascii="Noto Serif CJK SC" w:hAnsi="Noto Serif CJK SC" w:eastAsia="Noto Serif CJK SC"/>
                <w:b w:val="0"/>
                <w:i w:val="0"/>
                <w:color w:val="333333"/>
                <w:sz w:val="21"/>
              </w:rPr>
              <w:t>版本：V1    日期：2026-04-20</w:t>
            </w:r>
          </w:p>
        </w:tc>
      </w:tr>
    </w:tbl>
    <w:p>
      <w:pPr>
        <w:pStyle w:val="Heading2"/>
        <w:keepNext/>
      </w:pPr>
      <w:r>
        <w:t>一、研究背景：成功预测与底层裂缝并存</w:t>
      </w:r>
    </w:p>
    <w:p>
      <w:pPr>
        <w:ind w:firstLine="420"/>
      </w:pPr>
      <w:r>
        <w:t>现代物理在经验层面的成功毋庸置疑：量子力学能够高精度描述微观统计规律，量子场论能够组织粒子与相互作用的计算，广义相对论则在宏观引力领域保持卓越解释力。然而，这种成功并不自动等价于底层图景的统一。围绕“对象是什么、测量是什么、关联为何能够远超局域分离图景、统计性质从何而来”等问题，现有理论依然呈现出解释结构上的分裂。</w:t>
      </w:r>
    </w:p>
    <w:p>
      <w:pPr>
        <w:ind w:firstLine="420"/>
      </w:pPr>
      <w:r>
        <w:t>尤其值得注意的是，一系列通常被视为“反常规”的量子现象——量子纠缠、Bell 不等式违背、测量问题、上下文性、全同粒子统计、量子隧穿和若干非经典相位效应——虽然都已有成功的数学处理，但其底层本体论解释长期分散。若仅从工程计算角度看，这些分散处理没有问题；但若试图追问统一的物理图景，它们共同暴露出“局域独立对象 + 外加规则修补”的经典描述方式越来越吃力。</w:t>
      </w:r>
    </w:p>
    <w:p>
      <w:pPr>
        <w:pStyle w:val="Heading2"/>
        <w:keepNext/>
      </w:pPr>
      <w:r>
        <w:t>二、问题意识：这些“异常”并非彼此孤立</w:t>
      </w:r>
    </w:p>
    <w:p>
      <w:pPr>
        <w:ind w:firstLine="420"/>
      </w:pPr>
      <w:r>
        <w:t>BNCFT 的研究动机并不来自对单一现象的不满，而来自一种更整体的观察：多类量子反常现象往往迫使理论在若干经典前提之间做取舍。Bell 关联迫使我们重新审视远距系统的独立性；量子纠缠表明整体态并不总能分解为局域态的简单直积；测量问题动摇了对象与观测严格外在分离的设想；上下文性与全同粒子统计则进一步削弱了“物理属性预先附着于局域个体之上”的朴素图景。</w:t>
      </w:r>
    </w:p>
    <w:p>
      <w:pPr>
        <w:ind w:firstLine="420"/>
      </w:pPr>
      <w:r>
        <w:t>因此，这些问题不应被理解为若干互不相干的“怪现象”，而更应被看作同一深层张力在不同方向上的投影：一旦坚持把物理系统当作若干彼此独立、局域自足、先验完备的小对象，理论就会在整体一致性、实验符合性与概念可理解性之间不断出现裂口。</w:t>
      </w:r>
    </w:p>
    <w:p>
      <w:pPr>
        <w:jc w:val="center"/>
      </w:pPr>
      <w:r>
        <w:rPr>
          <w:rFonts w:ascii="Noto Sans CJK SC" w:hAnsi="Noto Sans CJK SC" w:eastAsia="Noto Sans CJK SC"/>
          <w:b w:val="0"/>
          <w:i w:val="0"/>
          <w:color w:val="444444"/>
          <w:sz w:val="21"/>
        </w:rPr>
        <w:t>表 1  典型量子“反常规”现象所迫使我们重新审视的经典前提</w:t>
      </w:r>
    </w:p>
    <w:tbl>
      <w:tblPr>
        <w:tblW w:type="auto" w:w="0"/>
        <w:jc w:val="center"/>
        <w:tblLayout w:type="fixed"/>
        <w:tblLook w:firstColumn="1" w:firstRow="1" w:lastColumn="0" w:lastRow="0" w:noHBand="0" w:noVBand="1" w:val="04A0"/>
      </w:tblPr>
      <w:tblGrid>
        <w:gridCol w:w="1474"/>
        <w:gridCol w:w="2268"/>
        <w:gridCol w:w="2268"/>
        <w:gridCol w:w="2835"/>
      </w:tblGrid>
      <w:tr>
        <w:trPr>
          <w:tblHeader w:val="true"/>
        </w:trPr>
        <w:tc>
          <w:tcPr>
            <w:tcW w:type="dxa" w:w="1474"/>
            <w:tcMar>
              <w:top w:w="90" w:type="dxa"/>
              <w:start w:w="100" w:type="dxa"/>
              <w:bottom w:w="90" w:type="dxa"/>
              <w:end w:w="100" w:type="dxa"/>
            </w:tcMar>
            <w:vAlign w:val="center"/>
            <w:shd w:fill="DCEAF7"/>
          </w:tcPr>
          <w:p>
            <w:pPr>
              <w:jc w:val="center"/>
            </w:pPr>
            <w:r/>
            <w:r>
              <w:rPr>
                <w:rFonts w:ascii="Noto Sans CJK SC" w:hAnsi="Noto Sans CJK SC" w:eastAsia="Noto Sans CJK SC"/>
                <w:b/>
                <w:i w:val="0"/>
                <w:color w:val="202020"/>
                <w:sz w:val="19"/>
              </w:rPr>
              <w:t>现象</w:t>
            </w:r>
          </w:p>
        </w:tc>
        <w:tc>
          <w:tcPr>
            <w:tcW w:type="dxa" w:w="2268"/>
            <w:tcMar>
              <w:top w:w="90" w:type="dxa"/>
              <w:start w:w="100" w:type="dxa"/>
              <w:bottom w:w="90" w:type="dxa"/>
              <w:end w:w="100" w:type="dxa"/>
            </w:tcMar>
            <w:vAlign w:val="center"/>
            <w:shd w:fill="DCEAF7"/>
          </w:tcPr>
          <w:p>
            <w:pPr>
              <w:jc w:val="left"/>
            </w:pPr>
            <w:r/>
            <w:r>
              <w:rPr>
                <w:rFonts w:ascii="Noto Sans CJK SC" w:hAnsi="Noto Sans CJK SC" w:eastAsia="Noto Sans CJK SC"/>
                <w:b/>
                <w:i w:val="0"/>
                <w:color w:val="202020"/>
                <w:sz w:val="19"/>
              </w:rPr>
              <w:t>经典图景中最紧张的前提</w:t>
            </w:r>
          </w:p>
        </w:tc>
        <w:tc>
          <w:tcPr>
            <w:tcW w:type="dxa" w:w="2268"/>
            <w:tcMar>
              <w:top w:w="90" w:type="dxa"/>
              <w:start w:w="100" w:type="dxa"/>
              <w:bottom w:w="90" w:type="dxa"/>
              <w:end w:w="100" w:type="dxa"/>
            </w:tcMar>
            <w:vAlign w:val="center"/>
            <w:shd w:fill="DCEAF7"/>
          </w:tcPr>
          <w:p>
            <w:pPr>
              <w:jc w:val="left"/>
            </w:pPr>
            <w:r/>
            <w:r>
              <w:rPr>
                <w:rFonts w:ascii="Noto Sans CJK SC" w:hAnsi="Noto Sans CJK SC" w:eastAsia="Noto Sans CJK SC"/>
                <w:b/>
                <w:i w:val="0"/>
                <w:color w:val="202020"/>
                <w:sz w:val="19"/>
              </w:rPr>
              <w:t>常见补丁式处理</w:t>
            </w:r>
          </w:p>
        </w:tc>
        <w:tc>
          <w:tcPr>
            <w:tcW w:type="dxa" w:w="2835"/>
            <w:tcMar>
              <w:top w:w="90" w:type="dxa"/>
              <w:start w:w="100" w:type="dxa"/>
              <w:bottom w:w="90" w:type="dxa"/>
              <w:end w:w="100" w:type="dxa"/>
            </w:tcMar>
            <w:vAlign w:val="center"/>
            <w:shd w:fill="DCEAF7"/>
          </w:tcPr>
          <w:p>
            <w:pPr>
              <w:jc w:val="left"/>
            </w:pPr>
            <w:r/>
            <w:r>
              <w:rPr>
                <w:rFonts w:ascii="Noto Sans CJK SC" w:hAnsi="Noto Sans CJK SC" w:eastAsia="Noto Sans CJK SC"/>
                <w:b/>
                <w:i w:val="0"/>
                <w:color w:val="202020"/>
                <w:sz w:val="19"/>
              </w:rPr>
              <w:t>BNCFT 的重述方向</w:t>
            </w:r>
          </w:p>
        </w:tc>
      </w:tr>
      <w:tr>
        <w:tc>
          <w:tcPr>
            <w:tcW w:type="dxa" w:w="1474"/>
            <w:tcMar>
              <w:top w:w="90" w:type="dxa"/>
              <w:start w:w="100" w:type="dxa"/>
              <w:bottom w:w="90" w:type="dxa"/>
              <w:end w:w="100" w:type="dxa"/>
            </w:tcMar>
            <w:vAlign w:val="center"/>
            <w:shd w:fill="F8FBFE"/>
          </w:tcPr>
          <w:p>
            <w:pPr>
              <w:jc w:val="center"/>
            </w:pPr>
            <w:r/>
            <w:r>
              <w:rPr>
                <w:rFonts w:ascii="Noto Serif CJK SC" w:hAnsi="Noto Serif CJK SC" w:eastAsia="Noto Serif CJK SC"/>
                <w:b w:val="0"/>
                <w:i w:val="0"/>
                <w:color w:val="202020"/>
                <w:sz w:val="19"/>
              </w:rPr>
              <w:t>Bell 违背</w:t>
            </w:r>
          </w:p>
        </w:tc>
        <w:tc>
          <w:tcPr>
            <w:tcW w:type="dxa" w:w="2268"/>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局域独立子系统 + 结果预定</w:t>
            </w:r>
          </w:p>
        </w:tc>
        <w:tc>
          <w:tcPr>
            <w:tcW w:type="dxa" w:w="2268"/>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改变量子概率解释或接受解释分裂</w:t>
            </w:r>
          </w:p>
        </w:tc>
        <w:tc>
          <w:tcPr>
            <w:tcW w:type="dxa" w:w="2835"/>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把两端视为同一共享场整体态的两个局域读出端</w:t>
            </w:r>
          </w:p>
        </w:tc>
      </w:tr>
      <w:tr>
        <w:tc>
          <w:tcPr>
            <w:tcW w:type="dxa" w:w="1474"/>
            <w:tcMar>
              <w:top w:w="90" w:type="dxa"/>
              <w:start w:w="100" w:type="dxa"/>
              <w:bottom w:w="90" w:type="dxa"/>
              <w:end w:w="100" w:type="dxa"/>
            </w:tcMar>
            <w:vAlign w:val="center"/>
            <w:shd w:fill="FFFFFF"/>
          </w:tcPr>
          <w:p>
            <w:pPr>
              <w:jc w:val="center"/>
            </w:pPr>
            <w:r/>
            <w:r>
              <w:rPr>
                <w:rFonts w:ascii="Noto Serif CJK SC" w:hAnsi="Noto Serif CJK SC" w:eastAsia="Noto Serif CJK SC"/>
                <w:b w:val="0"/>
                <w:i w:val="0"/>
                <w:color w:val="202020"/>
                <w:sz w:val="19"/>
              </w:rPr>
              <w:t>量子纠缠</w:t>
            </w:r>
          </w:p>
        </w:tc>
        <w:tc>
          <w:tcPr>
            <w:tcW w:type="dxa" w:w="2268"/>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整体态可分解为局域态简单直积</w:t>
            </w:r>
          </w:p>
        </w:tc>
        <w:tc>
          <w:tcPr>
            <w:tcW w:type="dxa" w:w="2268"/>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用测量后坍缩维持统一叙述</w:t>
            </w:r>
          </w:p>
        </w:tc>
        <w:tc>
          <w:tcPr>
            <w:tcW w:type="dxa" w:w="2835"/>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以场整体态先于粒子划分，局域态仅为条件化表象</w:t>
            </w:r>
          </w:p>
        </w:tc>
      </w:tr>
      <w:tr>
        <w:tc>
          <w:tcPr>
            <w:tcW w:type="dxa" w:w="1474"/>
            <w:tcMar>
              <w:top w:w="90" w:type="dxa"/>
              <w:start w:w="100" w:type="dxa"/>
              <w:bottom w:w="90" w:type="dxa"/>
              <w:end w:w="100" w:type="dxa"/>
            </w:tcMar>
            <w:vAlign w:val="center"/>
            <w:shd w:fill="F8FBFE"/>
          </w:tcPr>
          <w:p>
            <w:pPr>
              <w:jc w:val="center"/>
            </w:pPr>
            <w:r/>
            <w:r>
              <w:rPr>
                <w:rFonts w:ascii="Noto Serif CJK SC" w:hAnsi="Noto Serif CJK SC" w:eastAsia="Noto Serif CJK SC"/>
                <w:b w:val="0"/>
                <w:i w:val="0"/>
                <w:color w:val="202020"/>
                <w:sz w:val="19"/>
              </w:rPr>
              <w:t>测量问题</w:t>
            </w:r>
          </w:p>
        </w:tc>
        <w:tc>
          <w:tcPr>
            <w:tcW w:type="dxa" w:w="2268"/>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对象与观测严格外在分离</w:t>
            </w:r>
          </w:p>
        </w:tc>
        <w:tc>
          <w:tcPr>
            <w:tcW w:type="dxa" w:w="2268"/>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坍缩、公设分层、多世界等并行修补</w:t>
            </w:r>
          </w:p>
        </w:tc>
        <w:tc>
          <w:tcPr>
            <w:tcW w:type="dxa" w:w="2835"/>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把测量理解为场-装置耦合下的稳定读出选择</w:t>
            </w:r>
          </w:p>
        </w:tc>
      </w:tr>
      <w:tr>
        <w:tc>
          <w:tcPr>
            <w:tcW w:type="dxa" w:w="1474"/>
            <w:tcMar>
              <w:top w:w="90" w:type="dxa"/>
              <w:start w:w="100" w:type="dxa"/>
              <w:bottom w:w="90" w:type="dxa"/>
              <w:end w:w="100" w:type="dxa"/>
            </w:tcMar>
            <w:vAlign w:val="center"/>
            <w:shd w:fill="FFFFFF"/>
          </w:tcPr>
          <w:p>
            <w:pPr>
              <w:jc w:val="center"/>
            </w:pPr>
            <w:r/>
            <w:r>
              <w:rPr>
                <w:rFonts w:ascii="Noto Serif CJK SC" w:hAnsi="Noto Serif CJK SC" w:eastAsia="Noto Serif CJK SC"/>
                <w:b w:val="0"/>
                <w:i w:val="0"/>
                <w:color w:val="202020"/>
                <w:sz w:val="19"/>
              </w:rPr>
              <w:t>上下文性</w:t>
            </w:r>
          </w:p>
        </w:tc>
        <w:tc>
          <w:tcPr>
            <w:tcW w:type="dxa" w:w="2268"/>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物理量具有先验、与测量无关的固定值</w:t>
            </w:r>
          </w:p>
        </w:tc>
        <w:tc>
          <w:tcPr>
            <w:tcW w:type="dxa" w:w="2268"/>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以形式规则承认不可共测而不追问底层</w:t>
            </w:r>
          </w:p>
        </w:tc>
        <w:tc>
          <w:tcPr>
            <w:tcW w:type="dxa" w:w="2835"/>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把可观测量视为场态与测量结构共同生成的响应</w:t>
            </w:r>
          </w:p>
        </w:tc>
      </w:tr>
      <w:tr>
        <w:tc>
          <w:tcPr>
            <w:tcW w:type="dxa" w:w="1474"/>
            <w:tcMar>
              <w:top w:w="90" w:type="dxa"/>
              <w:start w:w="100" w:type="dxa"/>
              <w:bottom w:w="90" w:type="dxa"/>
              <w:end w:w="100" w:type="dxa"/>
            </w:tcMar>
            <w:vAlign w:val="center"/>
            <w:shd w:fill="F8FBFE"/>
          </w:tcPr>
          <w:p>
            <w:pPr>
              <w:jc w:val="center"/>
            </w:pPr>
            <w:r/>
            <w:r>
              <w:rPr>
                <w:rFonts w:ascii="Noto Serif CJK SC" w:hAnsi="Noto Serif CJK SC" w:eastAsia="Noto Serif CJK SC"/>
                <w:b w:val="0"/>
                <w:i w:val="0"/>
                <w:color w:val="202020"/>
                <w:sz w:val="19"/>
              </w:rPr>
              <w:t>全同粒子统计</w:t>
            </w:r>
          </w:p>
        </w:tc>
        <w:tc>
          <w:tcPr>
            <w:tcW w:type="dxa" w:w="2268"/>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粒子先天带有可追踪个体标签</w:t>
            </w:r>
          </w:p>
        </w:tc>
        <w:tc>
          <w:tcPr>
            <w:tcW w:type="dxa" w:w="2268"/>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以交换对称性作为外加规则</w:t>
            </w:r>
          </w:p>
        </w:tc>
        <w:tc>
          <w:tcPr>
            <w:tcW w:type="dxa" w:w="2835"/>
            <w:tcMar>
              <w:top w:w="90" w:type="dxa"/>
              <w:start w:w="100" w:type="dxa"/>
              <w:bottom w:w="90" w:type="dxa"/>
              <w:end w:w="100" w:type="dxa"/>
            </w:tcMar>
            <w:vAlign w:val="center"/>
            <w:shd w:fill="F8FBFE"/>
          </w:tcPr>
          <w:p>
            <w:pPr>
              <w:jc w:val="left"/>
            </w:pPr>
            <w:r/>
            <w:r>
              <w:rPr>
                <w:rFonts w:ascii="Noto Serif CJK SC" w:hAnsi="Noto Serif CJK SC" w:eastAsia="Noto Serif CJK SC"/>
                <w:b w:val="0"/>
                <w:i w:val="0"/>
                <w:color w:val="202020"/>
                <w:sz w:val="19"/>
              </w:rPr>
              <w:t>粒子种类与统计性质由共享场激发模式决定</w:t>
            </w:r>
          </w:p>
        </w:tc>
      </w:tr>
      <w:tr>
        <w:tc>
          <w:tcPr>
            <w:tcW w:type="dxa" w:w="1474"/>
            <w:tcMar>
              <w:top w:w="90" w:type="dxa"/>
              <w:start w:w="100" w:type="dxa"/>
              <w:bottom w:w="90" w:type="dxa"/>
              <w:end w:w="100" w:type="dxa"/>
            </w:tcMar>
            <w:vAlign w:val="center"/>
            <w:shd w:fill="FFFFFF"/>
          </w:tcPr>
          <w:p>
            <w:pPr>
              <w:jc w:val="center"/>
            </w:pPr>
            <w:r/>
            <w:r>
              <w:rPr>
                <w:rFonts w:ascii="Noto Serif CJK SC" w:hAnsi="Noto Serif CJK SC" w:eastAsia="Noto Serif CJK SC"/>
                <w:b w:val="0"/>
                <w:i w:val="0"/>
                <w:color w:val="202020"/>
                <w:sz w:val="19"/>
              </w:rPr>
              <w:t>隧穿与非经典相位</w:t>
            </w:r>
          </w:p>
        </w:tc>
        <w:tc>
          <w:tcPr>
            <w:tcW w:type="dxa" w:w="2268"/>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局域粒子轨迹可穷尽全部动力学</w:t>
            </w:r>
          </w:p>
        </w:tc>
        <w:tc>
          <w:tcPr>
            <w:tcW w:type="dxa" w:w="2268"/>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用波函数形式计算而悬置本体</w:t>
            </w:r>
          </w:p>
        </w:tc>
        <w:tc>
          <w:tcPr>
            <w:tcW w:type="dxa" w:w="2835"/>
            <w:tcMar>
              <w:top w:w="90" w:type="dxa"/>
              <w:start w:w="100" w:type="dxa"/>
              <w:bottom w:w="90" w:type="dxa"/>
              <w:end w:w="100" w:type="dxa"/>
            </w:tcMar>
            <w:vAlign w:val="center"/>
            <w:shd w:fill="FFFFFF"/>
          </w:tcPr>
          <w:p>
            <w:pPr>
              <w:jc w:val="left"/>
            </w:pPr>
            <w:r/>
            <w:r>
              <w:rPr>
                <w:rFonts w:ascii="Noto Serif CJK SC" w:hAnsi="Noto Serif CJK SC" w:eastAsia="Noto Serif CJK SC"/>
                <w:b w:val="0"/>
                <w:i w:val="0"/>
                <w:color w:val="202020"/>
                <w:sz w:val="19"/>
              </w:rPr>
              <w:t>把其理解为非线性共享场的整体传播与相位组织</w:t>
            </w:r>
          </w:p>
        </w:tc>
      </w:tr>
    </w:tbl>
    <w:p>
      <w:pPr>
        <w:pStyle w:val="Heading2"/>
        <w:keepNext/>
      </w:pPr>
      <w:r>
        <w:t>三、BNCFT 的基本出发点</w:t>
      </w:r>
    </w:p>
    <w:p>
      <w:pPr>
        <w:ind w:firstLine="420"/>
      </w:pPr>
      <w:r>
        <w:t>无背景非线性共享场理论（Background-Free Nonlinear Common Field Theory, BNCFT）尝试从本体层面改变问题的出发点：世界底层不是先有彼此独立的粒子，再用规则把它们关联起来；相反，底层首先是一个无预设背景、具有非线性演化与整体共享约束的连续场结构。通常被识别为粒子、关联、统计与测量结果的对象，是这一整体场在特定条件下的局域激发、局域读出与关系化表象。</w:t>
      </w:r>
    </w:p>
    <w:p>
      <w:pPr>
        <w:ind w:firstLine="420"/>
      </w:pPr>
      <w:r>
        <w:t>在这一视角下，Bell 违背不再被解释为两个远距粒子之间的神秘通信，而被重述为：同一共享场整体态不能被两个局域自足子系统无损分解。量子纠缠也不再是“两个已分开的粒子后来仍保持诡异联系”，而是一个整体场态在两个空间分离端口上的相关响应。BNCFT 的价值，不在于直接取消既有量子理论，而在于为这些现象提供统一的底层解释路线。</w:t>
      </w:r>
    </w:p>
    <w:p>
      <w:pPr>
        <w:pStyle w:val="Heading2"/>
        <w:keepNext/>
      </w:pPr>
      <w:r>
        <w:t>四、与总纲的对齐位置</w:t>
      </w:r>
    </w:p>
    <w:p>
      <w:pPr>
        <w:ind w:firstLine="420"/>
      </w:pPr>
      <w:r>
        <w:t>就总纲结构而言，本文本适合作为总引言或研究缘起部分，其功能不是给出终局证明，而是说明为何必须开展 BNCFT 研究。它所承担的任务有四项：第一，交代现有理论成功与裂缝并存的背景；第二，指出量子反常现象背后的共同结构压力；第三，给出“整体共享场”作为替代本体的必要性；第四，为后续关于 Bell 关联、测量结构、统计性质与几何接口的专门章节建立问题入口。</w:t>
      </w:r>
    </w:p>
    <w:p>
      <w:pPr>
        <w:ind w:firstLine="420"/>
      </w:pPr>
      <w:r>
        <w:t>因此，在与总纲对齐时，本文应被视为“问题提出稿”而非“证明稿”。它可以自然导向后续编章中的若干核心任务：Bell 关联的联合概率推导、无信号条件的场论表达、测量读出机制的非线性稳定性解释、以及从共享场到有效几何与多体统计的接口构造。</w:t>
      </w:r>
    </w:p>
    <w:p>
      <w:pPr>
        <w:pStyle w:val="Heading2"/>
        <w:keepNext/>
      </w:pPr>
      <w:r>
        <w:t>五、本文目标与写作边界</w:t>
      </w:r>
    </w:p>
    <w:p>
      <w:pPr>
        <w:ind w:firstLine="420"/>
      </w:pPr>
      <w:r>
        <w:t>这份引言稿的目标，是以尽量克制、学术且总纲兼容的方式说明：为什么 BNCFT 值得研究。它并不预设 BNCFT 已经完成全部证明，也不宣称现有量子理论已经被替代；相反，它把重点放在“问题为何集中指向一个整体共享场框架”这一研究动机上。正是在这一意义上，BNCFT 的竞争力首先表现为统一解释的潜力，而非先验宣布性的结论。</w:t>
      </w:r>
    </w:p>
    <w:p>
      <w:pPr>
        <w:ind w:firstLine="420"/>
      </w:pPr>
      <w:r>
        <w:t>如果后续推导能够进一步把共享场整体态、局域测量泛函、无信号边际和量子极限之间的关系严格建立起来，那么 BNCFT 才可能由“有竞争力的问题框架”进入“具有裁决力的理论候选”。本引言的任务，就是为这一研究计划建立必要的概念起点。</w:t>
      </w:r>
    </w:p>
    <w:p>
      <w:pPr>
        <w:ind w:firstLine="420"/>
      </w:pPr>
      <w:r>
        <w:t>可直接作为总纲中的收束句：Bell 违背、量子纠缠与其他量子“反常规”现象，并不单纯要求我们在原有局域独立对象图景上不断补丁式修补；它们更深刻地提示，物理世界的底层描述也许必须从“分立对象优先”转向“整体共享场优先”。</w:t>
      </w:r>
    </w:p>
    <w:p>
      <w:r>
        <w:br w:type="page"/>
      </w:r>
    </w:p>
    <w:p>
      <w:pPr>
        <w:pStyle w:val="Heading1"/>
        <w:keepNext/>
      </w:pPr>
      <w:r>
        <w:t>English Companion｜Research Introduction Aligned to the General Outline</w:t>
      </w:r>
    </w:p>
    <w:p>
      <w:pPr>
        <w:pStyle w:val="NoteBox"/>
      </w:pPr>
      <w:r>
        <w:rPr>
          <w:rFonts w:ascii="Noto Serif CJK SC" w:hAnsi="Noto Serif CJK SC" w:eastAsia="Noto Serif CJK SC"/>
          <w:b w:val="0"/>
          <w:i w:val="0"/>
          <w:color w:val="4A4A4A"/>
          <w:sz w:val="21"/>
        </w:rPr>
        <w:t>This English companion translates the newly merged introduction section so that the formal insertion has a corresponding English version, while the working outline body below remains in Chinese.</w:t>
      </w:r>
    </w:p>
    <w:p>
      <w:pPr>
        <w:pStyle w:val="Heading2"/>
        <w:keepNext/>
      </w:pPr>
      <w:r>
        <w:t>I. Background: predictive success coexisting with foundational fractures</w:t>
      </w:r>
    </w:p>
    <w:p>
      <w:pPr>
        <w:ind w:firstLine="420"/>
      </w:pPr>
      <w:r>
        <w:t>Modern physics is unquestionably successful at the empirical level: quantum mechanics describes microscopic statistical regularities with very high precision, quantum field theory organizes the calculation of particles and interactions, and general relativity retains outstanding explanatory power in the macroscopic gravitational domain. Yet this success does not automatically amount to a unified foundational picture. Questions such as what the basic object is, what measurement is, why correlations may exceed a locally separable picture, and where statistical structure ultimately comes from still reveal a split in our explanatory framework.</w:t>
      </w:r>
    </w:p>
    <w:p>
      <w:pPr>
        <w:ind w:firstLine="420"/>
      </w:pPr>
      <w:r>
        <w:t>A series of phenomena often labeled “non-classical” or “anomalous” — quantum entanglement, Bell-inequality violation, the measurement problem, contextuality, identical-particle statistics, tunneling, and certain non-classical phase effects — already have successful mathematical treatments. The difficulty lies instead in their fragmented ontological interpretation. From a purely engineering perspective that fragmentation may be acceptable; from the standpoint of a unified physical picture, however, it suggests that the classical template of “locally independent objects plus ad hoc supplementary rules” is becoming increasingly strained.</w:t>
      </w:r>
    </w:p>
    <w:p>
      <w:pPr>
        <w:pStyle w:val="Heading2"/>
        <w:keepNext/>
      </w:pPr>
      <w:r>
        <w:t>II. Problem awareness: these anomalies are not isolated</w:t>
      </w:r>
    </w:p>
    <w:p>
      <w:pPr>
        <w:ind w:firstLine="420"/>
      </w:pPr>
      <w:r>
        <w:t>The motivation of BNCFT does not arise from dissatisfaction with any single phenomenon. It comes from a broader observation: many quantum anomalies force theory to trade off among classical assumptions. Bell correlations challenge the independence of distant systems; entanglement shows that a whole state cannot always be decomposed into a simple product of local states; the measurement problem destabilizes the assumption of strict external separation between object and observer; contextuality and identical-particle statistics further weaken the naive picture that physical properties are pre-attached to local individuals.</w:t>
      </w:r>
    </w:p>
    <w:p>
      <w:pPr>
        <w:ind w:firstLine="420"/>
      </w:pPr>
      <w:r>
        <w:t>These issues should therefore be understood not as unrelated curiosities, but as distinct projections of the same deeper tension. Whenever one insists on treating physical systems as collections of independent, locally self-sufficient, and antecedently complete small objects, cracks reopen between overall consistency, empirical adequacy, and conceptual intelligibility.</w:t>
      </w:r>
    </w:p>
    <w:p>
      <w:pPr>
        <w:pStyle w:val="Heading2"/>
        <w:keepNext/>
      </w:pPr>
      <w:r>
        <w:t>III. The basic point of departure of BNCFT</w:t>
      </w:r>
    </w:p>
    <w:p>
      <w:pPr>
        <w:ind w:firstLine="420"/>
      </w:pPr>
      <w:r>
        <w:t>Background-Free Nonlinear Common Field Theory (BNCFT) attempts to shift the starting point at the ontological level. The world does not begin with already separate particles that are later connected by rules. Instead, the more basic layer is taken to be a background-free field structure governed by nonlinear evolution and global common constraints. What are usually identified as particles, correlations, statistics, and measurement outcomes are then treated as localized excitations, localized readouts, and relational appearances of that whole field under specific conditions.</w:t>
      </w:r>
    </w:p>
    <w:p>
      <w:pPr>
        <w:ind w:firstLine="420"/>
      </w:pPr>
      <w:r>
        <w:t>On this view, Bell-inequality violation is no longer interpreted as mysterious communication between distant particles, but as evidence that the global state of a common field cannot be losslessly decomposed into two locally self-sufficient subsystems. Entanglement likewise becomes the correlated response of one whole field state at two spatially separated readout ports. The value of BNCFT is not that it immediately abolishes existing quantum theory, but that it offers a unified explanatory route beneath these phenomena.</w:t>
      </w:r>
    </w:p>
    <w:p>
      <w:pPr>
        <w:pStyle w:val="Heading2"/>
        <w:keepNext/>
      </w:pPr>
      <w:r>
        <w:t>IV. Alignment with the general outline</w:t>
      </w:r>
    </w:p>
    <w:p>
      <w:pPr>
        <w:ind w:firstLine="420"/>
      </w:pPr>
      <w:r>
        <w:t>Within the structure of the general outline, this text is best treated as a general introduction or statement of research motivation. Its function is not to present a final proof, but to explain why BNCFT research is necessary. It performs four tasks: it states the coexistence of success and fracture in current theory; identifies the common structural pressure behind quantum anomalies; argues for the necessity of a whole common field as an alternative ontology; and opens the way for later chapters on Bell correlations, measurement structure, statistical properties, and geometric interfaces.</w:t>
      </w:r>
    </w:p>
    <w:p>
      <w:pPr>
        <w:ind w:firstLine="420"/>
      </w:pPr>
      <w:r>
        <w:t>Accordingly, when aligned with the outline, this introduction should be read as a problem-posing manuscript rather than a proof manuscript. It naturally leads to later tasks such as deriving joint probabilities for Bell correlations, formulating no-signalling conditions in field-theoretic language, explaining stable readout selection in nonlinear measurement coupling, and constructing interfaces from the common field to effective geometry and many-body statistics.</w:t>
      </w:r>
    </w:p>
    <w:p>
      <w:pPr>
        <w:pStyle w:val="Heading2"/>
        <w:keepNext/>
      </w:pPr>
      <w:r>
        <w:t>V. Aim and boundary of the introduction</w:t>
      </w:r>
    </w:p>
    <w:p>
      <w:pPr>
        <w:ind w:firstLine="420"/>
      </w:pPr>
      <w:r>
        <w:t>The goal of this introduction is to explain, in a restrained and academically compatible way, why BNCFT deserves to be studied. It does not presuppose that BNCFT has already completed all proofs, nor does it claim that existing quantum theory has already been replaced. Instead, it focuses on the research motivation: why the cluster of problems points toward a common-field framework. In this sense, the competitiveness of BNCFT first appears as the potential for unified explanation, not as a prior declarative conclusion.</w:t>
      </w:r>
    </w:p>
    <w:p>
      <w:pPr>
        <w:ind w:firstLine="420"/>
      </w:pPr>
      <w:r>
        <w:t>If later derivations can rigorously establish the relations among the global common-field state, local measurement functionals, no-signalling marginals, and quantum limits, then BNCFT may move from being a promising problem framework to being a theory candidate with adjudicable force. The present introduction simply establishes the conceptual starting point required for that research program.</w:t>
      </w:r>
    </w:p>
    <w:p>
      <w:pPr>
        <w:pStyle w:val="NoteBox"/>
      </w:pPr>
      <w:r>
        <w:rPr>
          <w:rFonts w:ascii="Noto Serif CJK SC" w:hAnsi="Noto Serif CJK SC" w:eastAsia="Noto Serif CJK SC"/>
          <w:b w:val="0"/>
          <w:i/>
          <w:color w:val="555555"/>
          <w:sz w:val="20"/>
        </w:rPr>
        <w:t>Closing line for integration: Bell violations, entanglement, and other “non-classical” quantum phenomena do not merely call for endless patching within a picture of locally independent objects; more deeply, they suggest that foundational description may need to shift from object-priority to whole-common-field priority.</w:t>
      </w:r>
    </w:p>
    <w:p>
      <w:r>
        <w:br w:type="page"/>
      </w:r>
    </w:p>
    <w:p>
      <w:pPr>
        <w:pStyle w:val="Heading1"/>
        <w:keepNext/>
      </w:pPr>
      <w:r>
        <w:t>总纲正文｜研究程序、风险配置与推进路线</w:t>
      </w:r>
    </w:p>
    <w:p>
      <w:pPr>
        <w:pStyle w:val="NoteBox"/>
      </w:pPr>
      <w:r>
        <w:rPr>
          <w:rFonts w:ascii="Noto Serif CJK SC" w:hAnsi="Noto Serif CJK SC" w:eastAsia="Noto Serif CJK SC"/>
          <w:b w:val="0"/>
          <w:i w:val="0"/>
          <w:color w:val="4A4A4A"/>
          <w:sz w:val="21"/>
        </w:rPr>
        <w:t>以下正文主要继承 2026-04-02《总纲（核验吸收最新版）》的研究程序框架，并统一将文内正式名称更新为 BNCFT；新增的总引言承担研究动机与问题提出功能，正文则负责具体的验证纪律与阶段安排。</w:t>
      </w:r>
    </w:p>
    <w:p>
      <w:pPr>
        <w:pStyle w:val="Heading2"/>
        <w:keepNext/>
      </w:pPr>
      <w:r>
        <w:t>一、改写总原则：从“宏大叙事优先”转向“桥梁可验证优先”</w:t>
      </w:r>
    </w:p>
    <w:p>
      <w:pPr>
        <w:ind w:firstLine="420"/>
      </w:pPr>
      <w:r>
        <w:t>本版总纲的第一原则，是把“代数到几何的涌现桥梁”继续确认为首要科学风险 R1，并把它从一般性章节改写为全项目的验证核心。其地位高于十三维叙事、高于粒子谱扩展、高于与现代理论的宏观比较。</w:t>
      </w:r>
    </w:p>
    <w:p>
      <w:pPr>
        <w:ind w:firstLine="420"/>
      </w:pPr>
      <w:r>
        <w:t>第二原则，是将外部数学进展分成三类吸收：其一，能直接支持方法论转换的成果；其二，能提供可计算工具与判据的成果；其三，只能提供哲学性或弱结构性支持的成果。只有前两类进入总纲主线。</w:t>
      </w:r>
    </w:p>
    <w:p>
      <w:pPr>
        <w:ind w:firstLine="420"/>
      </w:pPr>
      <w:r>
        <w:t>第三原则，是统一实行“已证—可支持—待证”三级表述。凡属于预印本、部分结果、特定模型结果、数值结果或 lower bound 结果，均不得在总纲中被写成唯一性证明、终局定理或普遍物理结论。</w:t>
      </w:r>
    </w:p>
    <w:p>
      <w:pPr>
        <w:ind w:firstLine="420"/>
      </w:pPr>
      <w:r>
        <w:t>第四原则，是把“与复杂性共存”具体化为研究纪律：不再追求对所有微观轨道逐一完全控制，而是优先识别病态轨道、估计其权重、提取典型结构、建立谱隙与维数下界，再在此基础上讨论几何化与分层化。</w:t>
      </w:r>
    </w:p>
    <w:p>
      <w:pPr>
        <w:pStyle w:val="Heading2"/>
        <w:keepNext/>
      </w:pPr>
      <w:r>
        <w:t>二、近期外部进展的核验筛选与吸收方式</w:t>
      </w:r>
    </w:p>
    <w:p>
      <w:pPr>
        <w:ind w:firstLine="420"/>
      </w:pPr>
      <w:r>
        <w:t>本版吸收的外部进展，按“强吸收—中吸收—弱吸收”三层进入总纲。</w:t>
      </w:r>
    </w:p>
    <w:tbl>
      <w:tblPr>
        <w:tblW w:type="auto" w:w="0"/>
        <w:jc w:val="center"/>
        <w:tblLayout w:type="fixed"/>
        <w:tblLook w:firstColumn="1" w:firstRow="1" w:lastColumn="0" w:lastRow="0" w:noHBand="0" w:noVBand="1" w:val="04A0"/>
      </w:tblPr>
      <w:tblGrid>
        <w:gridCol w:w="3005"/>
        <w:gridCol w:w="964"/>
        <w:gridCol w:w="3402"/>
        <w:gridCol w:w="1247"/>
      </w:tblGrid>
      <w:tr>
        <w:trPr>
          <w:tblHeader w:val="true"/>
        </w:trPr>
        <w:tc>
          <w:tcPr>
            <w:tcW w:type="dxa" w:w="3005"/>
            <w:tcMar>
              <w:top w:w="90" w:type="dxa"/>
              <w:start w:w="90" w:type="dxa"/>
              <w:bottom w:w="90" w:type="dxa"/>
              <w:end w:w="90" w:type="dxa"/>
            </w:tcMar>
            <w:vAlign w:val="center"/>
            <w:shd w:fill="DCEAF7"/>
          </w:tcPr>
          <w:p>
            <w:pPr>
              <w:jc w:val="left"/>
            </w:pPr>
            <w:r/>
            <w:r>
              <w:rPr>
                <w:rFonts w:ascii="Noto Sans CJK SC" w:hAnsi="Noto Sans CJK SC" w:eastAsia="Noto Sans CJK SC"/>
                <w:b/>
                <w:i w:val="0"/>
                <w:color w:val="222222"/>
                <w:sz w:val="18"/>
              </w:rPr>
              <w:t>外部进展（核验后）</w:t>
            </w:r>
          </w:p>
        </w:tc>
        <w:tc>
          <w:tcPr>
            <w:tcW w:type="dxa" w:w="964"/>
            <w:tcMar>
              <w:top w:w="90" w:type="dxa"/>
              <w:start w:w="90" w:type="dxa"/>
              <w:bottom w:w="90" w:type="dxa"/>
              <w:end w:w="90" w:type="dxa"/>
            </w:tcMar>
            <w:vAlign w:val="center"/>
            <w:shd w:fill="DCEAF7"/>
          </w:tcPr>
          <w:p>
            <w:pPr>
              <w:jc w:val="center"/>
            </w:pPr>
            <w:r/>
            <w:r>
              <w:rPr>
                <w:rFonts w:ascii="Noto Sans CJK SC" w:hAnsi="Noto Sans CJK SC" w:eastAsia="Noto Sans CJK SC"/>
                <w:b/>
                <w:i w:val="0"/>
                <w:color w:val="222222"/>
                <w:sz w:val="18"/>
              </w:rPr>
              <w:t>证据级别</w:t>
            </w:r>
          </w:p>
        </w:tc>
        <w:tc>
          <w:tcPr>
            <w:tcW w:type="dxa" w:w="3402"/>
            <w:tcMar>
              <w:top w:w="90" w:type="dxa"/>
              <w:start w:w="90" w:type="dxa"/>
              <w:bottom w:w="90" w:type="dxa"/>
              <w:end w:w="90" w:type="dxa"/>
            </w:tcMar>
            <w:vAlign w:val="center"/>
            <w:shd w:fill="DCEAF7"/>
          </w:tcPr>
          <w:p>
            <w:pPr>
              <w:jc w:val="left"/>
            </w:pPr>
            <w:r/>
            <w:r>
              <w:rPr>
                <w:rFonts w:ascii="Noto Sans CJK SC" w:hAnsi="Noto Sans CJK SC" w:eastAsia="Noto Sans CJK SC"/>
                <w:b/>
                <w:i w:val="0"/>
                <w:color w:val="222222"/>
                <w:sz w:val="18"/>
              </w:rPr>
              <w:t>可支持内容</w:t>
            </w:r>
          </w:p>
        </w:tc>
        <w:tc>
          <w:tcPr>
            <w:tcW w:type="dxa" w:w="1247"/>
            <w:tcMar>
              <w:top w:w="90" w:type="dxa"/>
              <w:start w:w="90" w:type="dxa"/>
              <w:bottom w:w="90" w:type="dxa"/>
              <w:end w:w="90" w:type="dxa"/>
            </w:tcMar>
            <w:vAlign w:val="center"/>
            <w:shd w:fill="DCEAF7"/>
          </w:tcPr>
          <w:p>
            <w:pPr>
              <w:jc w:val="center"/>
            </w:pPr>
            <w:r/>
            <w:r>
              <w:rPr>
                <w:rFonts w:ascii="Noto Sans CJK SC" w:hAnsi="Noto Sans CJK SC" w:eastAsia="Noto Sans CJK SC"/>
                <w:b/>
                <w:i w:val="0"/>
                <w:color w:val="222222"/>
                <w:sz w:val="18"/>
              </w:rPr>
              <w:t>吸收位置</w:t>
            </w:r>
          </w:p>
        </w:tc>
      </w:tr>
      <w:tr>
        <w:tc>
          <w:tcPr>
            <w:tcW w:type="dxa" w:w="3005"/>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Hilbert 第六问题经玻尔兹曼动力学导出流体方程（Deng–Hani–Ma, 2025）</w:t>
            </w:r>
          </w:p>
        </w:tc>
        <w:tc>
          <w:tcPr>
            <w:tcW w:type="dxa" w:w="964"/>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强</w:t>
            </w:r>
          </w:p>
        </w:tc>
        <w:tc>
          <w:tcPr>
            <w:tcW w:type="dxa" w:w="3402"/>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病态历史不必逐一消灭；关键是证明危险历史在极限中可忽略，从而保住宏观有效方程</w:t>
            </w:r>
          </w:p>
        </w:tc>
        <w:tc>
          <w:tcPr>
            <w:tcW w:type="dxa" w:w="1247"/>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第二部分</w:t>
            </w:r>
          </w:p>
        </w:tc>
      </w:tr>
      <w:tr>
        <w:tc>
          <w:tcPr>
            <w:tcW w:type="dxa" w:w="3005"/>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随机双曲曲面谱隙结果（Anantharaman–Monk, 2024/2025 进展）</w:t>
            </w:r>
          </w:p>
        </w:tc>
        <w:tc>
          <w:tcPr>
            <w:tcW w:type="dxa" w:w="964"/>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强</w:t>
            </w:r>
          </w:p>
        </w:tc>
        <w:tc>
          <w:tcPr>
            <w:tcW w:type="dxa" w:w="3402"/>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典型几何可通过坏结构压制与谱隙判据被提纯；不必要求所有对象都好</w:t>
            </w:r>
          </w:p>
        </w:tc>
        <w:tc>
          <w:tcPr>
            <w:tcW w:type="dxa" w:w="1247"/>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第二、三部分</w:t>
            </w:r>
          </w:p>
        </w:tc>
      </w:tr>
      <w:tr>
        <w:tc>
          <w:tcPr>
            <w:tcW w:type="dxa" w:w="3005"/>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三维 Kakeya 猜想（Wang–Zahl, 2025）</w:t>
            </w:r>
          </w:p>
        </w:tc>
        <w:tc>
          <w:tcPr>
            <w:tcW w:type="dxa" w:w="964"/>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强</w:t>
            </w:r>
          </w:p>
        </w:tc>
        <w:tc>
          <w:tcPr>
            <w:tcW w:type="dxa" w:w="3402"/>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方向信息不可任意压缩；可转化为第三部分的维数下界与排除性约束</w:t>
            </w:r>
          </w:p>
        </w:tc>
        <w:tc>
          <w:tcPr>
            <w:tcW w:type="dxa" w:w="1247"/>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第三部分</w:t>
            </w:r>
          </w:p>
        </w:tc>
      </w:tr>
      <w:tr>
        <w:tc>
          <w:tcPr>
            <w:tcW w:type="dxa" w:w="3005"/>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二维混沌格点场论（Cvitanović–Liang, 2025/2026）</w:t>
            </w:r>
          </w:p>
        </w:tc>
        <w:tc>
          <w:tcPr>
            <w:tcW w:type="dxa" w:w="964"/>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强</w:t>
            </w:r>
          </w:p>
        </w:tc>
        <w:tc>
          <w:tcPr>
            <w:tcW w:type="dxa" w:w="3402"/>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“混沌 + 场论 + 求和结构”可在严格场论语言下被构造，为 BNCFT 的混沌场论表达提供范式参照</w:t>
            </w:r>
          </w:p>
        </w:tc>
        <w:tc>
          <w:tcPr>
            <w:tcW w:type="dxa" w:w="1247"/>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第二、第五部分</w:t>
            </w:r>
          </w:p>
        </w:tc>
      </w:tr>
      <w:tr>
        <w:tc>
          <w:tcPr>
            <w:tcW w:type="dxa" w:w="3005"/>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量子时空的 TDA / effective topology（Loll 等, 2025–2026）</w:t>
            </w:r>
          </w:p>
        </w:tc>
        <w:tc>
          <w:tcPr>
            <w:tcW w:type="dxa" w:w="964"/>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中</w:t>
            </w:r>
          </w:p>
        </w:tc>
        <w:tc>
          <w:tcPr>
            <w:tcW w:type="dxa" w:w="3402"/>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为“量子泡沫/预几何”提供可观测量：Betti 数、尺度依赖的拓扑指纹、粗粒化后的拓扑恢复条件</w:t>
            </w:r>
          </w:p>
        </w:tc>
        <w:tc>
          <w:tcPr>
            <w:tcW w:type="dxa" w:w="1247"/>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第二、六部分</w:t>
            </w:r>
          </w:p>
        </w:tc>
      </w:tr>
      <w:tr>
        <w:tc>
          <w:tcPr>
            <w:tcW w:type="dxa" w:w="3005"/>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Yang–Mills 矩阵积分 bootstrap（Li–Su, 2025）</w:t>
            </w:r>
          </w:p>
        </w:tc>
        <w:tc>
          <w:tcPr>
            <w:tcW w:type="dxa" w:w="964"/>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中</w:t>
            </w:r>
          </w:p>
        </w:tc>
        <w:tc>
          <w:tcPr>
            <w:tcW w:type="dxa" w:w="3402"/>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对非交换矩阵模型提供约束型求解与岛状允许域思想，可用于样板模型的参数区间判定</w:t>
            </w:r>
          </w:p>
        </w:tc>
        <w:tc>
          <w:tcPr>
            <w:tcW w:type="dxa" w:w="1247"/>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第二、六部分</w:t>
            </w:r>
          </w:p>
        </w:tc>
      </w:tr>
      <w:tr>
        <w:tc>
          <w:tcPr>
            <w:tcW w:type="dxa" w:w="3005"/>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13 维 kissing-number 新构型（PackingStar, 2026）</w:t>
            </w:r>
          </w:p>
        </w:tc>
        <w:tc>
          <w:tcPr>
            <w:tcW w:type="dxa" w:w="964"/>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弱—中</w:t>
            </w:r>
          </w:p>
        </w:tc>
        <w:tc>
          <w:tcPr>
            <w:tcW w:type="dxa" w:w="3402"/>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仅能说明 13 维存在新的有趣有理构型与 lower bound 改进，不能据此宣称 13 维唯一或最优</w:t>
            </w:r>
          </w:p>
        </w:tc>
        <w:tc>
          <w:tcPr>
            <w:tcW w:type="dxa" w:w="1247"/>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第三部分</w:t>
            </w:r>
          </w:p>
        </w:tc>
      </w:tr>
      <w:tr>
        <w:tc>
          <w:tcPr>
            <w:tcW w:type="dxa" w:w="3005"/>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符号动力系统的 typical periodic optimization / boundary dichotomy（2026）</w:t>
            </w:r>
          </w:p>
        </w:tc>
        <w:tc>
          <w:tcPr>
            <w:tcW w:type="dxa" w:w="964"/>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中</w:t>
            </w:r>
          </w:p>
        </w:tc>
        <w:tc>
          <w:tcPr>
            <w:tcW w:type="dxa" w:w="3402"/>
            <w:tcMar>
              <w:top w:w="90" w:type="dxa"/>
              <w:start w:w="90" w:type="dxa"/>
              <w:bottom w:w="90" w:type="dxa"/>
              <w:end w:w="90" w:type="dxa"/>
            </w:tcMar>
            <w:vAlign w:val="center"/>
            <w:shd w:fill="FFFFFF"/>
          </w:tcPr>
          <w:p>
            <w:pPr>
              <w:jc w:val="left"/>
            </w:pPr>
            <w:r/>
            <w:r>
              <w:rPr>
                <w:rFonts w:ascii="Noto Serif CJK SC" w:hAnsi="Noto Serif CJK SC" w:eastAsia="Noto Serif CJK SC"/>
                <w:b w:val="0"/>
                <w:i w:val="0"/>
                <w:color w:val="222222"/>
                <w:sz w:val="18"/>
              </w:rPr>
              <w:t>支持“典型轨道良性、异常轨道被隔离”的方法论，可用于病态轨道压制叙事</w:t>
            </w:r>
          </w:p>
        </w:tc>
        <w:tc>
          <w:tcPr>
            <w:tcW w:type="dxa" w:w="1247"/>
            <w:tcMar>
              <w:top w:w="90" w:type="dxa"/>
              <w:start w:w="90" w:type="dxa"/>
              <w:bottom w:w="90" w:type="dxa"/>
              <w:end w:w="90" w:type="dxa"/>
            </w:tcMar>
            <w:vAlign w:val="center"/>
            <w:shd w:fill="FFFFFF"/>
          </w:tcPr>
          <w:p>
            <w:pPr>
              <w:jc w:val="center"/>
            </w:pPr>
            <w:r/>
            <w:r>
              <w:rPr>
                <w:rFonts w:ascii="Noto Serif CJK SC" w:hAnsi="Noto Serif CJK SC" w:eastAsia="Noto Serif CJK SC"/>
                <w:b w:val="0"/>
                <w:i w:val="0"/>
                <w:color w:val="222222"/>
                <w:sz w:val="18"/>
              </w:rPr>
              <w:t>第二、六部分</w:t>
            </w:r>
          </w:p>
        </w:tc>
      </w:tr>
      <w:tr>
        <w:tc>
          <w:tcPr>
            <w:tcW w:type="dxa" w:w="3005"/>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几何 Langlands 的近年重大推进（2024–2025）</w:t>
            </w:r>
          </w:p>
        </w:tc>
        <w:tc>
          <w:tcPr>
            <w:tcW w:type="dxa" w:w="964"/>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弱</w:t>
            </w:r>
          </w:p>
        </w:tc>
        <w:tc>
          <w:tcPr>
            <w:tcW w:type="dxa" w:w="3402"/>
            <w:tcMar>
              <w:top w:w="90" w:type="dxa"/>
              <w:start w:w="90" w:type="dxa"/>
              <w:bottom w:w="90" w:type="dxa"/>
              <w:end w:w="90" w:type="dxa"/>
            </w:tcMar>
            <w:vAlign w:val="center"/>
            <w:shd w:fill="F7FAFD"/>
          </w:tcPr>
          <w:p>
            <w:pPr>
              <w:jc w:val="left"/>
            </w:pPr>
            <w:r/>
            <w:r>
              <w:rPr>
                <w:rFonts w:ascii="Noto Serif CJK SC" w:hAnsi="Noto Serif CJK SC" w:eastAsia="Noto Serif CJK SC"/>
                <w:b w:val="0"/>
                <w:i w:val="0"/>
                <w:color w:val="222222"/>
                <w:sz w:val="18"/>
              </w:rPr>
              <w:t>只提供复杂结构仍可存在统一桥梁的哲学性支持，不直接支撑具体维数或场方程</w:t>
            </w:r>
          </w:p>
        </w:tc>
        <w:tc>
          <w:tcPr>
            <w:tcW w:type="dxa" w:w="1247"/>
            <w:tcMar>
              <w:top w:w="90" w:type="dxa"/>
              <w:start w:w="90" w:type="dxa"/>
              <w:bottom w:w="90" w:type="dxa"/>
              <w:end w:w="90" w:type="dxa"/>
            </w:tcMar>
            <w:vAlign w:val="center"/>
            <w:shd w:fill="F7FAFD"/>
          </w:tcPr>
          <w:p>
            <w:pPr>
              <w:jc w:val="center"/>
            </w:pPr>
            <w:r/>
            <w:r>
              <w:rPr>
                <w:rFonts w:ascii="Noto Serif CJK SC" w:hAnsi="Noto Serif CJK SC" w:eastAsia="Noto Serif CJK SC"/>
                <w:b w:val="0"/>
                <w:i w:val="0"/>
                <w:color w:val="222222"/>
                <w:sz w:val="18"/>
              </w:rPr>
              <w:t>第五部分</w:t>
            </w:r>
          </w:p>
        </w:tc>
      </w:tr>
    </w:tbl>
    <w:p>
      <w:pPr>
        <w:ind w:firstLine="420"/>
      </w:pPr>
      <w:r>
        <w:t>本版明确不吸收进主线的说法包括：未经可靠主流来源核验的“非交换高维分形流形 Youvan 框架”“高维嵌入 Carlson 猜想 2025 证明”“分形纤维丛统一论已形成主流前沿”等表述；这些内容至多可作为私下检索线索，不得进入总纲中心论证。</w:t>
      </w:r>
    </w:p>
    <w:p>
      <w:pPr>
        <w:pStyle w:val="Heading2"/>
        <w:keepNext/>
      </w:pPr>
      <w:r>
        <w:t>三、总目标与新版总判断</w:t>
      </w:r>
    </w:p>
    <w:p>
      <w:pPr>
        <w:ind w:firstLine="420"/>
      </w:pPr>
      <w:r>
        <w:t>BNCFT 的总目标仍然是：在不预设时空、粒子、弦或膜的前提下，从无背景的非交换底层自由度出发，建立一条从代数动力学到预几何、再到有效分层结构与粒子谱解释的统一研究路线。</w:t>
      </w:r>
    </w:p>
    <w:p>
      <w:pPr>
        <w:ind w:firstLine="420"/>
      </w:pPr>
      <w:r>
        <w:t>但新版总判断已经更克制：当前真正有希望率先落地的，不是“直接推出某个唯一高维流形”，而是先在简化模型中建立以下四件事：稳定近对易区、联合谱的连续化迹象、典型相的统计稳健性、方向模与维数下界约束。</w:t>
      </w:r>
    </w:p>
    <w:p>
      <w:pPr>
        <w:ind w:firstLine="420"/>
      </w:pPr>
      <w:r>
        <w:t>因此，本版总纲将全项目重心进一步压向第二部分，并把第三部分的“4+6+3”继续保留为当前优选工作假设；它可以被支持、比较、增强，但在排除性论证完成前不得写成结论。</w:t>
      </w:r>
    </w:p>
    <w:p>
      <w:pPr>
        <w:ind w:firstLine="420"/>
      </w:pPr>
      <w:r>
        <w:t>本版另行并入的“BNCFT 研究引言”承担问题提出与研究缘起功能；本总纲正文则承接其后，负责给出研究纪律、风险分配、验证程序与阶段推进口径。</w:t>
      </w:r>
    </w:p>
    <w:p>
      <w:pPr>
        <w:pStyle w:val="Heading2"/>
        <w:keepNext/>
      </w:pPr>
      <w:r>
        <w:t>四、第一部分：母理论、无背景与公理化地基</w:t>
      </w:r>
    </w:p>
    <w:p>
      <w:pPr>
        <w:ind w:firstLine="420"/>
      </w:pPr>
      <w:r>
        <w:t>第一部分的功能保持不变：回答“最底层对象是什么、哪些对象允许进入正式论证、后文是否仍然受无背景原则约束”这三个问题。</w:t>
      </w:r>
    </w:p>
    <w:p>
      <w:pPr>
        <w:ind w:firstLine="420"/>
      </w:pPr>
      <w:r>
        <w:t>本部分须继续完成四项任务：统一术语，明确 BNCFT 为正式总称；写出最小对象集与最小动力学框架；区分真空态、稳定态、准稳定态、传播激发与束缚激发；给出统一的筛选标准，防止后文因语言松动而重引入先验几何。</w:t>
      </w:r>
    </w:p>
    <w:p>
      <w:pPr>
        <w:ind w:firstLine="420"/>
      </w:pPr>
      <w:r>
        <w:t>相较旧版，本部分新增一条纪律：母理论可以暂时保留“候选族”写法，但每个候选都必须说明它将如何在第二部分接受近对易、谱组织化、维数与稳定性判据的筛选。</w:t>
      </w:r>
    </w:p>
    <w:p>
      <w:pPr>
        <w:ind w:firstLine="420"/>
      </w:pPr>
      <w:r>
        <w:t>阶段成功判据：母理论能以一套最小对象、最小方程、最小判据被清晰表述，并对后文起约束作用。失败判据：若只能停留在哲学口号层，则后续结构全部降级为构想性提纲。</w:t>
      </w:r>
    </w:p>
    <w:p>
      <w:pPr>
        <w:pStyle w:val="Heading2"/>
        <w:keepNext/>
      </w:pPr>
      <w:r>
        <w:t>五、第二部分：代数到几何的涌现桥梁（总风险 R1，全面重写）</w:t>
      </w:r>
    </w:p>
    <w:p>
      <w:pPr>
        <w:ind w:firstLine="420"/>
      </w:pPr>
      <w:r>
        <w:t>本部分仍是全项目的首要科学风险，但其证明哲学已被外部进展重新塑形。新版不再把任务描述为“直接从非交换代数硬推出 Calabi–Yau”，而是改写为“先证明预几何相在样板模型中可出现、可识别、可统计提纯”。</w:t>
      </w:r>
    </w:p>
    <w:p>
      <w:pPr>
        <w:ind w:firstLine="420"/>
      </w:pPr>
      <w:r>
        <w:t>第一条新原则来自 Hilbert 第六问题路线：不控制全部微观历史，先定义危险轨道，再估计其权重衰减。对应到 BNCFT，危险轨道至少包括：长期高对易残差轨道、联合谱持续碎裂轨道、有效维数剧烈跳变轨道、对扰动超敏感轨道。</w:t>
      </w:r>
    </w:p>
    <w:p>
      <w:pPr>
        <w:ind w:firstLine="420"/>
      </w:pPr>
      <w:r>
        <w:t>第二条新原则来自随机双曲曲面谱隙：不要求所有真空都好，先证明典型真空是好的。于是本部分正式引入“典型真空集/病态真空集”的统计划分，并把谱隙、混合速度、稳定性与维数稳定度并入质量指标。</w:t>
      </w:r>
    </w:p>
    <w:p>
      <w:pPr>
        <w:ind w:firstLine="420"/>
      </w:pPr>
      <w:r>
        <w:t>第三条新原则来自 Kakeya：方向信息不可任意压缩。于是本部分不只看谱点是否成簇，还要为后续第三部分保留方向模承载度与维数下界接口，防止把一切内部信息误写成可随意投影到更低维骨架上的假几何。</w:t>
      </w:r>
    </w:p>
    <w:p>
      <w:pPr>
        <w:ind w:firstLine="420"/>
      </w:pPr>
      <w:r>
        <w:t>第四条新原则来自二维混沌格点场论：混沌场可以在场论语言中被组织成对周期结构的加权求和，这说明“混沌”并不天然等于“不可形式化”。BNCFT 应参考其做法，把混沌描述改写成可计算对象，而非单纯修辞。</w:t>
      </w:r>
    </w:p>
    <w:p>
      <w:pPr>
        <w:ind w:firstLine="420"/>
      </w:pPr>
      <w:r>
        <w:t>第五条新原则来自 quantum spacetime 的 TDA / effective topology：预几何不能只靠视觉类比，必须有可观测量。故本部分新增 Betti 数、尺度依赖拓扑指纹、粗粒化后连通性/孔洞结构恢复等观测指标。</w:t>
      </w:r>
    </w:p>
    <w:p>
      <w:pPr>
        <w:ind w:firstLine="420"/>
      </w:pPr>
      <w:r>
        <w:t>第六条新原则来自 Yang–Mills 矩阵积分 bootstrap：在高度非交换的矩阵系统中，约束型方法和允许域“岛化”可以显著收紧参数空间。BNCFT 的样板模型也应引入类似的参数区域筛选，而非只给单组手工调参图。</w:t>
      </w:r>
    </w:p>
    <w:p>
      <w:pPr>
        <w:ind w:firstLine="420"/>
      </w:pPr>
      <w:r>
        <w:t>本部分的正式研究目标改写为四步：第一步，证明或数值显示系统能进入稳定近对易区；第二步，证明联合谱能形成连续近似结构而非随机点云；第三步，证明几何迹象对初值、噪声与微扰有统计稳健性；第四步，在此基础上再筛选更强的结构候选，而不是一上来就指定某类高维几何。</w:t>
      </w:r>
    </w:p>
    <w:p>
      <w:pPr>
        <w:ind w:firstLine="420"/>
      </w:pPr>
      <w:r>
        <w:t>本部分的样板模型建议固定为：有限维厄米矩阵网络模型 + 规范求商 + 可选方向模加载。其基础观测指标至少包括：归一化对易残差、谱聚类稳定度、有效维数、谱隙、方向模承载度、病态轨道权重。</w:t>
      </w:r>
    </w:p>
    <w:p>
      <w:pPr>
        <w:ind w:firstLine="420"/>
      </w:pPr>
      <w:r>
        <w:t>成功判据升级为 S1–S5：S1 存在非瞬时近对易区；S2 联合谱形成稳定连续簇；S3 候选簇具有非平凡谱隙；S4 病态轨道权重随样本规模、时间平均或矩阵维数增加而下降；S5 候选簇对方向模加载具有最低承载能力。</w:t>
      </w:r>
    </w:p>
    <w:p>
      <w:pPr>
        <w:ind w:firstLine="420"/>
      </w:pPr>
      <w:r>
        <w:t>失败判据升级为 F1–F5：长期找不到稳定近对易区；联合谱始终是随机点云；几何迹象只在精细调参下出现；候选簇无谱隙且一碰即散；方向模承载度不足，仅是投影假象。只要上述失败持续成立，本部分整体降级为“预几何涌现框架”，暂停强指向 Calabi–Yau。</w:t>
      </w:r>
    </w:p>
    <w:p>
      <w:pPr>
        <w:pStyle w:val="Heading2"/>
        <w:keepNext/>
      </w:pPr>
      <w:r>
        <w:t>六、第三部分：十三维有效结构的建立（保持假设地位，增加排除性论证）</w:t>
      </w:r>
    </w:p>
    <w:p>
      <w:pPr>
        <w:ind w:firstLine="420"/>
      </w:pPr>
      <w:r>
        <w:t>第三部分依然回答“为什么可能出现 4+6+3 的有效分层”，但新版进一步强调：这一结构只能在第二部分的预几何相已经被做成样板之后讨论。</w:t>
      </w:r>
    </w:p>
    <w:p>
      <w:pPr>
        <w:ind w:firstLine="420"/>
      </w:pPr>
      <w:r>
        <w:t>本部分新增两类论证任务。其一是支持性任务：考察预几何相是否可稳定分裂为外部传播维、内部连续维与离散谱标签。其二是排除性任务：借助维数下界、方向模密度、谱隙稳健性与扰动响应，分析其他分层是否更自然，或是否根本不可能。</w:t>
      </w:r>
    </w:p>
    <w:p>
      <w:pPr>
        <w:ind w:firstLine="420"/>
      </w:pPr>
      <w:r>
        <w:t>13 维相关的新进展只能被谨慎吸收。2026 年的 PackingStar 结果说明 13 维出现了新的有理 kissing-number 构型，但它并未证明 13 维最优、唯一、天然物理化，也没有给出“13 维强几何刚性”的普遍定理。因此它最多只能作为弱结构性支持：13 维并非天然贫瘠，值得研究，但不能用来论证你的维数分层已经被数学证明。</w:t>
      </w:r>
    </w:p>
    <w:p>
      <w:pPr>
        <w:ind w:firstLine="420"/>
      </w:pPr>
      <w:r>
        <w:t>本部分继续要求把三个离散内部参数写成真正的谱标签或守恒标签，而非外加补丁。只有当它们能与零模、分类结构或内部算子共同本征值稳定对应时，第三部分才算闭合。</w:t>
      </w:r>
    </w:p>
    <w:p>
      <w:pPr>
        <w:ind w:firstLine="420"/>
      </w:pPr>
      <w:r>
        <w:t>成功判据：存在与 4+6+3 相容的分层迹象，且在小扰动与初值变化下保持稳健。失败判据：若其它分层同样普遍甚至更稳，或 4+6+3 仅在精细调参下出现，则其地位维持为暂时优选工作假设。</w:t>
      </w:r>
    </w:p>
    <w:p>
      <w:pPr>
        <w:pStyle w:val="Heading2"/>
        <w:keepNext/>
      </w:pPr>
      <w:r>
        <w:t>七、第四部分：粒子谱、零模与统一图景</w:t>
      </w:r>
    </w:p>
    <w:p>
      <w:pPr>
        <w:ind w:firstLine="420"/>
      </w:pPr>
      <w:r>
        <w:t>本部分维持“粒子不是先验本体，而是底层统一场的稳定激发或零模结果”的总立场。</w:t>
      </w:r>
    </w:p>
    <w:p>
      <w:pPr>
        <w:ind w:firstLine="420"/>
      </w:pPr>
      <w:r>
        <w:t>新版的主要调整在于：零模存在性、传播模存在性、手征性与统计性质，必须尽可能从第二、第三部分的结构判据反推，而不是再做独立叙事。若前两部分未形成稳固接口，本部分一律降级为现象学设想。</w:t>
      </w:r>
    </w:p>
    <w:p>
      <w:pPr>
        <w:ind w:firstLine="420"/>
      </w:pPr>
      <w:r>
        <w:t>本部分还应加入一条新纪律：优先寻求弱现象学绑定，例如零模计数约束、内部剩余对称性、手征不平衡是否能被谱标签解释，而不是过早承诺具体实验数值。</w:t>
      </w:r>
    </w:p>
    <w:p>
      <w:pPr>
        <w:pStyle w:val="Heading2"/>
        <w:keepNext/>
      </w:pPr>
      <w:r>
        <w:t>八、第五部分：与现代理论框架的衔接与提升</w:t>
      </w:r>
    </w:p>
    <w:p>
      <w:pPr>
        <w:ind w:firstLine="420"/>
      </w:pPr>
      <w:r>
        <w:t>本部分继续采用“继承什么、修正什么、超越什么、尚未完成什么”的克制写法。</w:t>
      </w:r>
    </w:p>
    <w:p>
      <w:pPr>
        <w:ind w:firstLine="420"/>
      </w:pPr>
      <w:r>
        <w:t>新版新增两项可吸收支撑。第一，几何 Langlands 的近年突破表明，跨越表示论、代数几何与数论的复杂桥梁可以通过长程结构被统一起来；这只能作为复杂结构仍可能有深层统一的哲学性支持，不可直接拿来类比为 BNCFT 已经成立。</w:t>
      </w:r>
    </w:p>
    <w:p>
      <w:pPr>
        <w:ind w:firstLine="420"/>
      </w:pPr>
      <w:r>
        <w:t>第二，Hélein 等关于动态主丛的工作表明，在某些规范/引力型理论中，主丛或纤维结构并非必须事先固定，而可以在变分框架中动态出现。这一思想对 BNCFT 的“几何与纤维并非先验给定”非常有启发性，可作为方法类比，但仍不是直接证明。</w:t>
      </w:r>
    </w:p>
    <w:p>
      <w:pPr>
        <w:ind w:firstLine="420"/>
      </w:pPr>
      <w:r>
        <w:t>本部分应明确：BNCFT 在当前阶段更接近“无背景非交换动力学 + 预几何筛选 + 有效分层”的研究程序，而不是一个已经完成的终局替代理论。</w:t>
      </w:r>
    </w:p>
    <w:p>
      <w:pPr>
        <w:pStyle w:val="Heading2"/>
        <w:keepNext/>
      </w:pPr>
      <w:r>
        <w:t>九、第六部分：研究路线图、验证程序与近期推进顺序</w:t>
      </w:r>
    </w:p>
    <w:p>
      <w:pPr>
        <w:ind w:firstLine="420"/>
      </w:pPr>
      <w:r>
        <w:t>新版路线图比旧版更偏向“算得出来的桥梁”。短期任务的中心不再是扩写宏观叙事，而是做成一套最小可重复实验：固定一个矩阵网络母模型、给出参数族、重复不同初值采样、输出对易残差、联合谱、有效维数、谱隙与病态轨道权重。</w:t>
      </w:r>
    </w:p>
    <w:p>
      <w:pPr>
        <w:ind w:firstLine="420"/>
      </w:pPr>
      <w:r>
        <w:t>在此基础上，第二阶段引入 TDA 指标，如 Betti 数与粗粒化拓扑指纹；第三阶段引入方向模加载与维数下界判据；第四阶段再考虑与 4+6+3 兼容的分层迹象；第五阶段才把结果写回粒子谱与现代理论衔接。</w:t>
      </w:r>
    </w:p>
    <w:p>
      <w:pPr>
        <w:ind w:firstLine="420"/>
      </w:pPr>
      <w:r>
        <w:t>本部分还应吸收典型周期优化结果带来的方法论启发：对“好行为是否典型”的判断，不能只看单一轨道，要看开放稠密性、边界集、失败集以及其结构来源。BNCFT 的数值流程也应从单案例演示改成统计性相图与失败门槛报告。</w:t>
      </w:r>
    </w:p>
    <w:p>
      <w:pPr>
        <w:ind w:firstLine="420"/>
      </w:pPr>
      <w:r>
        <w:t>近期正式输出建议固定为四份文稿：其一，《BNCFT 母理论与公理化基础》；其二，《从非交换矩阵网络到预几何相的样板验证》；其三，《十三维有效结构的支持性与排除性分析》；其四，《BNCFT 与现代理论框架的关系（克制版）》。</w:t>
      </w:r>
    </w:p>
    <w:p>
      <w:pPr>
        <w:pStyle w:val="Heading2"/>
        <w:keepNext/>
      </w:pPr>
      <w:r>
        <w:t>十、总体检查点与当前结语</w:t>
      </w:r>
    </w:p>
    <w:p>
      <w:pPr>
        <w:ind w:firstLine="420"/>
      </w:pPr>
      <w:r>
        <w:t>经本轮改写后，总纲的中心不再是“先写出一个完整宇宙图景”，而是“先把唯一关键桥梁做成可计算、可失败、可复用的样板”。这使整份文稿更像研究程序，而不是单向度宣言。</w:t>
      </w:r>
    </w:p>
    <w:p>
      <w:pPr>
        <w:ind w:firstLine="420"/>
      </w:pPr>
      <w:r>
        <w:t>新版最重要的变化有四项：第一，第二部分被从“桥梁章节”升级为“验证核心”；第二，第三部分的 4+6+3 被更严格地限制在工作假设地位；第三，外部数学进展被分级吸收，杜绝把新闻化表述直接写成理论证明；第四，总纲新增了病态轨道压制、典型相提纯、谱隙判据、维数下界、TDA 观测与 bootstrap 约束等一整套新工具。</w:t>
      </w:r>
    </w:p>
    <w:p>
      <w:pPr>
        <w:ind w:firstLine="420"/>
      </w:pPr>
      <w:r>
        <w:t>当前最关键的判断仍然没有改变：BNCFT 能否向前迈实质一步，不取决于后部叙事是否继续扩张，而取决于第二部分是否能交出第一个被独立审阅者看懂、复算、反驳或支持的样板模型。只要这一点没有落地，所有更宏大的结构都必须保持克制。</w:t>
      </w:r>
    </w:p>
    <w:p>
      <w:pPr>
        <w:pStyle w:val="Heading2"/>
        <w:keepNext/>
      </w:pPr>
      <w:r>
        <w:t>十一、附：本版可正式引用的外部依据（核验版）</w:t>
      </w:r>
    </w:p>
    <w:p>
      <w:pPr>
        <w:ind w:left="227" w:hanging="227"/>
      </w:pPr>
      <w:r>
        <w:t>[1] Yu Deng, Zaher Hani, Xiao Ma, Hilbert’s sixth problem: derivation of fluid equations via Boltzmann’s kinetic theory, arXiv:2503.01800, 2025.</w:t>
      </w:r>
    </w:p>
    <w:p>
      <w:pPr>
        <w:ind w:left="227" w:hanging="227"/>
      </w:pPr>
      <w:r>
        <w:t>[2] Nalini Anantharaman, Laura Monk, Spectral gap of random hyperbolic surfaces, arXiv:2403.12576, 2024；相关后续进展持续到 2025 年。</w:t>
      </w:r>
    </w:p>
    <w:p>
      <w:pPr>
        <w:ind w:left="227" w:hanging="227"/>
      </w:pPr>
      <w:r>
        <w:t>[3] Hong Wang, Joshua Zahl, Volume estimates for unions of convex sets, and the Kakeya set conjecture in three dimensions, arXiv:2502.17655, 2025.</w:t>
      </w:r>
    </w:p>
    <w:p>
      <w:pPr>
        <w:ind w:left="227" w:hanging="227"/>
      </w:pPr>
      <w:r>
        <w:t>[4] Predrag Cvitanović, Han Liang, A chaotic lattice field theory in two dimensions, Chaos 36 (2026)；arXiv:2503.22972.</w:t>
      </w:r>
    </w:p>
    <w:p>
      <w:pPr>
        <w:ind w:left="227" w:hanging="227"/>
      </w:pPr>
      <w:r>
        <w:t>[5] J. van der Duin, R. Loll, M. Schiffer, A. Silva, Exploring Quantum Spacetime with Topological Data Analysis, arXiv:2510.05693, 2025.</w:t>
      </w:r>
    </w:p>
    <w:p>
      <w:pPr>
        <w:ind w:left="227" w:hanging="227"/>
      </w:pPr>
      <w:r>
        <w:t>[6] J. van der Duin, R. Loll, M. Schiffer, A. Silva, Quantum gravity and effective topology, Eur. Phys. J. C (2026).</w:t>
      </w:r>
    </w:p>
    <w:p>
      <w:pPr>
        <w:ind w:left="227" w:hanging="227"/>
      </w:pPr>
      <w:r>
        <w:t>[7] Wenliang Li, Xinran Su, Bootstrapping Yang–Mills matrix integrals, arXiv:2510.06704, 2025.</w:t>
      </w:r>
    </w:p>
    <w:p>
      <w:pPr>
        <w:ind w:left="227" w:hanging="227"/>
      </w:pPr>
      <w:r>
        <w:t>[8] Wen Huang, Oliver Jenkinson, Leiye Xu, Yiwei Zhang, Typical periodic optimization for dynamical systems: symbolic dynamics, to appear in Inventiones Mathematicae, arXiv:2603.07224, 2026.</w:t>
      </w:r>
    </w:p>
    <w:p>
      <w:pPr>
        <w:ind w:left="227" w:hanging="227"/>
      </w:pPr>
      <w:r>
        <w:t>[9] Finding Kissing Numbers with Game-theoretic Reinforcement Learning, arXiv:2511.13391, 2026（13 维结果仅为 lower bound / 构型改进，不是最优性证明）。</w:t>
      </w:r>
    </w:p>
    <w:p>
      <w:pPr>
        <w:ind w:left="227" w:hanging="227"/>
      </w:pPr>
      <w:r>
        <w:t>[10] Frédéric Hélein 等相关工作，Gauge and Gravity theories on a dynamical principal bundle, arXiv:2310.14615, 2023.</w:t>
      </w:r>
    </w:p>
    <w:p>
      <w:pPr>
        <w:ind w:left="227" w:hanging="227"/>
      </w:pPr>
      <w:r>
        <w:t>[11] 关于几何 Langlands 的近年重大推进，可参考 Dennis Gaitsgory 及合作者相关成果与 2025 Breakthrough Prize 说明。</w:t>
      </w:r>
    </w:p>
    <w:p>
      <w:pPr>
        <w:pStyle w:val="Heading2"/>
        <w:keepNext/>
      </w:pPr>
      <w:r>
        <w:t>附录：本版未纳入主线的若干说法（仅作后续检索线索）</w:t>
      </w:r>
    </w:p>
    <w:p>
      <w:pPr>
        <w:ind w:hanging="170" w:left="397"/>
      </w:pPr>
      <w:r>
        <w:t>1. 关于“非交换高维分形流形 Youvan 框架”的说法，本次未找到足够可靠的主流一手来源，故不纳入主线。</w:t>
      </w:r>
    </w:p>
    <w:p>
      <w:pPr>
        <w:ind w:hanging="170" w:left="397"/>
      </w:pPr>
      <w:r>
        <w:t>2. 关于“高维嵌入 Carlson 猜想 2025 证明”的说法，本次未核验到明确对应成果，故不纳入主线。</w:t>
      </w:r>
    </w:p>
    <w:p>
      <w:pPr>
        <w:ind w:hanging="170" w:left="397"/>
      </w:pPr>
      <w:r>
        <w:t>3. 关于“分形纤维丛统一论已形成国内主流前沿方向”的说法，本次未找到可支撑该表述的主流论文链条，故不纳入主线。</w:t>
      </w:r>
    </w:p>
    <w:p>
      <w:pPr>
        <w:ind w:hanging="170" w:left="397"/>
      </w:pPr>
      <w:r>
        <w:t>4. 关于“13 维结构刚性已被数学证明”的说法，与已核验资料不符；当前可确认的是某些 13 维 kissing-number 构型 lower bound 的 AI 搜索改进。</w:t>
      </w:r>
    </w:p>
    <w:p>
      <w:pPr>
        <w:ind w:hanging="170" w:left="397"/>
      </w:pPr>
      <w:r>
        <w:t>5. 关于“普朗克尺度时空已被严格证明为 2D 分形泡沫并宏观演化为 4D”的说法，本次仅核验到 2D 模型中的分形/泡沫结构与 TDA 可观测量，以及更一般的量子时空拓扑指纹研究，故只能谨慎吸收为方法支持，不得写成普遍定理。</w:t>
      </w:r>
    </w:p>
    <w:sectPr w:rsidR="00FC693F" w:rsidRPr="0006063C" w:rsidSect="00034616">
      <w:headerReference w:type="default" r:id="rId9"/>
      <w:footerReference w:type="default" r:id="rId10"/>
      <w:pgSz w:w="11906" w:h="16838"/>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777777"/>
        <w:sz w:val="18"/>
      </w:rPr>
      <w:t>BNCFT · 2026-04-20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666666"/>
        <w:sz w:val="18"/>
      </w:rPr>
      <w:t>BNCFT 总纲（研究引言合并版）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63E7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45B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basedOn w:val="Normal"/>
    <w:pPr>
      <w:spacing w:after="160"/>
      <w:jc w:val="center"/>
    </w:pPr>
    <w:rPr>
      <w:rFonts w:ascii="Noto Sans CJK SC" w:hAnsi="Noto Sans CJK SC" w:eastAsia="Noto Sans CJK SC"/>
      <w:b/>
      <w:color w:val="163E72"/>
      <w:sz w:val="44"/>
    </w:rPr>
  </w:style>
  <w:style w:type="paragraph" w:customStyle="1" w:styleId="MySubtitle">
    <w:name w:val="MySubtitle"/>
    <w:basedOn w:val="Normal"/>
    <w:pPr>
      <w:spacing w:after="80"/>
      <w:jc w:val="center"/>
    </w:pPr>
    <w:rPr>
      <w:rFonts w:ascii="Noto Serif CJK SC" w:hAnsi="Noto Serif CJK SC" w:eastAsia="Noto Serif CJK SC"/>
      <w:i/>
      <w:color w:val="555555"/>
      <w:sz w:val="24"/>
    </w:rPr>
  </w:style>
  <w:style w:type="paragraph" w:customStyle="1" w:styleId="NoteBox">
    <w:name w:val="NoteBox"/>
    <w:basedOn w:val="Normal"/>
    <w:pPr>
      <w:spacing w:before="80" w:after="80" w:line="300" w:lineRule="auto"/>
      <w:ind w:left="227" w:right="227"/>
    </w:pPr>
    <w:rPr>
      <w:rFonts w:ascii="Noto Serif CJK SC" w:hAnsi="Noto Serif CJK SC" w:eastAsia="Noto Serif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