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C14E2">
      <w:pPr>
        <w:pStyle w:val="164"/>
        <w:spacing w:before="200" w:after="60" w:line="288" w:lineRule="auto"/>
        <w:jc w:val="center"/>
      </w:pPr>
      <w:bookmarkStart w:id="0" w:name="_GoBack"/>
      <w:bookmarkEnd w:id="0"/>
      <w:r>
        <w:rPr>
          <w:rFonts w:ascii="Times New Roman" w:hAnsi="Times New Roman" w:eastAsia="Noto Serif CJK SC"/>
          <w:b/>
          <w:i w:val="0"/>
          <w:color w:val="243B5A"/>
          <w:sz w:val="36"/>
        </w:rPr>
        <w:t>BNCFT 第四编第一章接口定位说明</w:t>
      </w:r>
    </w:p>
    <w:p w14:paraId="2058D173">
      <w:pPr>
        <w:spacing w:before="0" w:after="200" w:line="288" w:lineRule="auto"/>
        <w:jc w:val="center"/>
      </w:pPr>
      <w:r>
        <w:rPr>
          <w:rFonts w:ascii="Times New Roman" w:hAnsi="Times New Roman" w:eastAsia="Times New Roman"/>
          <w:b w:val="0"/>
          <w:i/>
          <w:color w:val="4F6B8A"/>
          <w:sz w:val="24"/>
        </w:rPr>
        <w:t>Placement Note for the Mass-Interface Chapter in Volume IV of BNCFT</w:t>
      </w:r>
    </w:p>
    <w:p w14:paraId="335F76C4">
      <w:pPr>
        <w:spacing w:before="0" w:after="240" w:line="288" w:lineRule="auto"/>
        <w:jc w:val="center"/>
      </w:pPr>
      <w:r>
        <w:rPr>
          <w:rFonts w:ascii="Times New Roman" w:hAnsi="Times New Roman" w:eastAsia="Noto Serif CJK SC"/>
          <w:b w:val="0"/>
          <w:i w:val="0"/>
          <w:color w:val="666666"/>
          <w:sz w:val="20"/>
        </w:rPr>
        <w:t>由 BiCFT 接口定位稿统一改名并修订</w:t>
      </w:r>
    </w:p>
    <w:tbl>
      <w:tblPr>
        <w:tblStyle w:val="32"/>
        <w:tblW w:w="0" w:type="auto"/>
        <w:jc w:val="center"/>
        <w:tblLayout w:type="fixed"/>
        <w:tblCellMar>
          <w:top w:w="0" w:type="dxa"/>
          <w:left w:w="108" w:type="dxa"/>
          <w:bottom w:w="0" w:type="dxa"/>
          <w:right w:w="108" w:type="dxa"/>
        </w:tblCellMar>
      </w:tblPr>
      <w:tblGrid>
        <w:gridCol w:w="2436"/>
        <w:gridCol w:w="2436"/>
        <w:gridCol w:w="2436"/>
        <w:gridCol w:w="2436"/>
      </w:tblGrid>
      <w:tr w14:paraId="49D06A53">
        <w:tblPrEx>
          <w:tblCellMar>
            <w:top w:w="0" w:type="dxa"/>
            <w:left w:w="108" w:type="dxa"/>
            <w:bottom w:w="0" w:type="dxa"/>
            <w:right w:w="108" w:type="dxa"/>
          </w:tblCellMar>
        </w:tblPrEx>
        <w:trPr>
          <w:jc w:val="center"/>
        </w:trPr>
        <w:tc>
          <w:tcPr>
            <w:tcW w:w="1587" w:type="dxa"/>
            <w:shd w:val="clear" w:color="auto" w:fill="DCE6F1"/>
            <w:tcMar>
              <w:top w:w="80" w:type="dxa"/>
              <w:left w:w="90" w:type="dxa"/>
              <w:bottom w:w="80" w:type="dxa"/>
              <w:right w:w="90" w:type="dxa"/>
            </w:tcMar>
            <w:vAlign w:val="center"/>
          </w:tcPr>
          <w:p w14:paraId="7CCC183A">
            <w:pPr>
              <w:jc w:val="center"/>
            </w:pPr>
            <w:r>
              <w:rPr>
                <w:rFonts w:ascii="Times New Roman" w:hAnsi="Times New Roman" w:eastAsia="Noto Serif CJK SC"/>
                <w:b/>
                <w:i w:val="0"/>
                <w:color w:val="1F3556"/>
                <w:sz w:val="20"/>
              </w:rPr>
              <w:t>理论名称</w:t>
            </w:r>
          </w:p>
        </w:tc>
        <w:tc>
          <w:tcPr>
            <w:tcW w:w="2551" w:type="dxa"/>
            <w:shd w:val="clear" w:color="auto" w:fill="DCE6F1"/>
            <w:tcMar>
              <w:top w:w="80" w:type="dxa"/>
              <w:left w:w="90" w:type="dxa"/>
              <w:bottom w:w="80" w:type="dxa"/>
              <w:right w:w="90" w:type="dxa"/>
            </w:tcMar>
            <w:vAlign w:val="center"/>
          </w:tcPr>
          <w:p w14:paraId="34777010">
            <w:pPr>
              <w:jc w:val="center"/>
            </w:pPr>
            <w:r>
              <w:rPr>
                <w:rFonts w:ascii="Times New Roman" w:hAnsi="Times New Roman" w:eastAsia="Noto Serif CJK SC"/>
                <w:b/>
                <w:i w:val="0"/>
                <w:color w:val="1F3556"/>
                <w:sz w:val="20"/>
              </w:rPr>
              <w:t>缩写</w:t>
            </w:r>
          </w:p>
        </w:tc>
        <w:tc>
          <w:tcPr>
            <w:tcW w:w="1587" w:type="dxa"/>
            <w:shd w:val="clear" w:color="auto" w:fill="DCE6F1"/>
            <w:tcMar>
              <w:top w:w="80" w:type="dxa"/>
              <w:left w:w="90" w:type="dxa"/>
              <w:bottom w:w="80" w:type="dxa"/>
              <w:right w:w="90" w:type="dxa"/>
            </w:tcMar>
            <w:vAlign w:val="center"/>
          </w:tcPr>
          <w:p w14:paraId="78F0385E">
            <w:pPr>
              <w:jc w:val="center"/>
            </w:pPr>
            <w:r>
              <w:rPr>
                <w:rFonts w:ascii="Times New Roman" w:hAnsi="Times New Roman" w:eastAsia="Noto Serif CJK SC"/>
                <w:b/>
                <w:i w:val="0"/>
                <w:color w:val="1F3556"/>
                <w:sz w:val="20"/>
              </w:rPr>
              <w:t>版本</w:t>
            </w:r>
          </w:p>
        </w:tc>
        <w:tc>
          <w:tcPr>
            <w:tcW w:w="2551" w:type="dxa"/>
            <w:shd w:val="clear" w:color="auto" w:fill="DCE6F1"/>
            <w:tcMar>
              <w:top w:w="80" w:type="dxa"/>
              <w:left w:w="90" w:type="dxa"/>
              <w:bottom w:w="80" w:type="dxa"/>
              <w:right w:w="90" w:type="dxa"/>
            </w:tcMar>
            <w:vAlign w:val="center"/>
          </w:tcPr>
          <w:p w14:paraId="4E348866">
            <w:pPr>
              <w:jc w:val="center"/>
            </w:pPr>
            <w:r>
              <w:rPr>
                <w:rFonts w:ascii="Times New Roman" w:hAnsi="Times New Roman" w:eastAsia="Noto Serif CJK SC"/>
                <w:b/>
                <w:i w:val="0"/>
                <w:color w:val="1F3556"/>
                <w:sz w:val="20"/>
              </w:rPr>
              <w:t>日期</w:t>
            </w:r>
          </w:p>
        </w:tc>
      </w:tr>
      <w:tr w14:paraId="3DC988EE">
        <w:tblPrEx>
          <w:tblCellMar>
            <w:top w:w="0" w:type="dxa"/>
            <w:left w:w="108" w:type="dxa"/>
            <w:bottom w:w="0" w:type="dxa"/>
            <w:right w:w="108" w:type="dxa"/>
          </w:tblCellMar>
        </w:tblPrEx>
        <w:trPr>
          <w:jc w:val="center"/>
        </w:trPr>
        <w:tc>
          <w:tcPr>
            <w:tcW w:w="1587" w:type="dxa"/>
            <w:tcMar>
              <w:top w:w="80" w:type="dxa"/>
              <w:left w:w="90" w:type="dxa"/>
              <w:bottom w:w="80" w:type="dxa"/>
              <w:right w:w="90" w:type="dxa"/>
            </w:tcMar>
            <w:vAlign w:val="center"/>
          </w:tcPr>
          <w:p w14:paraId="45884694">
            <w:pPr>
              <w:jc w:val="center"/>
            </w:pPr>
            <w:r>
              <w:rPr>
                <w:rFonts w:ascii="Times New Roman" w:hAnsi="Times New Roman" w:eastAsia="Noto Serif CJK SC"/>
                <w:b w:val="0"/>
                <w:i w:val="0"/>
                <w:sz w:val="20"/>
              </w:rPr>
              <w:t>无背景非线性共享场理论 / Background-Free Nonlinear Common Field Theory</w:t>
            </w:r>
          </w:p>
        </w:tc>
        <w:tc>
          <w:tcPr>
            <w:tcW w:w="2551" w:type="dxa"/>
            <w:tcMar>
              <w:top w:w="80" w:type="dxa"/>
              <w:left w:w="90" w:type="dxa"/>
              <w:bottom w:w="80" w:type="dxa"/>
              <w:right w:w="90" w:type="dxa"/>
            </w:tcMar>
            <w:vAlign w:val="center"/>
          </w:tcPr>
          <w:p w14:paraId="0182BCC5">
            <w:pPr>
              <w:jc w:val="center"/>
            </w:pPr>
            <w:r>
              <w:rPr>
                <w:rFonts w:ascii="Times New Roman" w:hAnsi="Times New Roman" w:eastAsia="Noto Serif CJK SC"/>
                <w:b w:val="0"/>
                <w:i w:val="0"/>
                <w:sz w:val="20"/>
              </w:rPr>
              <w:t>BNCFT</w:t>
            </w:r>
          </w:p>
        </w:tc>
        <w:tc>
          <w:tcPr>
            <w:tcW w:w="1587" w:type="dxa"/>
            <w:tcMar>
              <w:top w:w="80" w:type="dxa"/>
              <w:left w:w="90" w:type="dxa"/>
              <w:bottom w:w="80" w:type="dxa"/>
              <w:right w:w="90" w:type="dxa"/>
            </w:tcMar>
            <w:vAlign w:val="center"/>
          </w:tcPr>
          <w:p w14:paraId="495E0566">
            <w:pPr>
              <w:jc w:val="center"/>
            </w:pPr>
            <w:r>
              <w:rPr>
                <w:rFonts w:ascii="Times New Roman" w:hAnsi="Times New Roman" w:eastAsia="Noto Serif CJK SC"/>
                <w:b w:val="0"/>
                <w:i w:val="0"/>
                <w:sz w:val="20"/>
              </w:rPr>
              <w:t>V1</w:t>
            </w:r>
          </w:p>
        </w:tc>
        <w:tc>
          <w:tcPr>
            <w:tcW w:w="2551" w:type="dxa"/>
            <w:tcMar>
              <w:top w:w="80" w:type="dxa"/>
              <w:left w:w="90" w:type="dxa"/>
              <w:bottom w:w="80" w:type="dxa"/>
              <w:right w:w="90" w:type="dxa"/>
            </w:tcMar>
            <w:vAlign w:val="center"/>
          </w:tcPr>
          <w:p w14:paraId="388DFED6">
            <w:pPr>
              <w:jc w:val="center"/>
            </w:pPr>
            <w:r>
              <w:rPr>
                <w:rFonts w:ascii="Times New Roman" w:hAnsi="Times New Roman" w:eastAsia="Noto Serif CJK SC"/>
                <w:b w:val="0"/>
                <w:i w:val="0"/>
                <w:sz w:val="20"/>
              </w:rPr>
              <w:t>2026-04-18</w:t>
            </w:r>
          </w:p>
        </w:tc>
      </w:tr>
    </w:tbl>
    <w:p w14:paraId="319EE536"/>
    <w:p w14:paraId="36CEB6E0">
      <w:pPr>
        <w:spacing w:before="160" w:after="80" w:line="288" w:lineRule="auto"/>
      </w:pPr>
      <w:r>
        <w:rPr>
          <w:rFonts w:ascii="Times New Roman" w:hAnsi="Times New Roman" w:eastAsia="Noto Serif CJK SC"/>
          <w:b/>
          <w:i w:val="0"/>
          <w:color w:val="1F3556"/>
          <w:sz w:val="28"/>
        </w:rPr>
        <w:t>中文版</w:t>
      </w:r>
    </w:p>
    <w:p w14:paraId="250DFB15">
      <w:pPr>
        <w:spacing w:before="120" w:after="40" w:line="288" w:lineRule="auto"/>
      </w:pPr>
      <w:r>
        <w:rPr>
          <w:rFonts w:ascii="Times New Roman" w:hAnsi="Times New Roman" w:eastAsia="Noto Serif CJK SC"/>
          <w:b/>
          <w:i w:val="0"/>
          <w:color w:val="2F5597"/>
          <w:sz w:val="24"/>
        </w:rPr>
        <w:t>文件目的</w:t>
      </w:r>
    </w:p>
    <w:p w14:paraId="1425D2C9">
      <w:pPr>
        <w:spacing w:before="0" w:after="100" w:line="288" w:lineRule="auto"/>
        <w:jc w:val="both"/>
      </w:pPr>
      <w:r>
        <w:rPr>
          <w:rFonts w:ascii="Times New Roman" w:hAnsi="Times New Roman" w:eastAsia="Noto Serif CJK SC"/>
          <w:b w:val="0"/>
          <w:i w:val="0"/>
          <w:sz w:val="22"/>
        </w:rPr>
        <w:t>明确“质量三分定义及其等效性问题的接口说明稿”在 BNCFT 全套文稿中的归属位置与编排方式。</w:t>
      </w:r>
    </w:p>
    <w:p w14:paraId="1AD0D461">
      <w:pPr>
        <w:spacing w:before="120" w:after="40" w:line="288" w:lineRule="auto"/>
      </w:pPr>
      <w:r>
        <w:rPr>
          <w:rFonts w:ascii="Times New Roman" w:hAnsi="Times New Roman" w:eastAsia="Noto Serif CJK SC"/>
          <w:b/>
          <w:i w:val="0"/>
          <w:color w:val="2F5597"/>
          <w:sz w:val="24"/>
        </w:rPr>
        <w:t>核心结论</w:t>
      </w:r>
    </w:p>
    <w:p w14:paraId="4114A40D">
      <w:pPr>
        <w:spacing w:before="0" w:after="100" w:line="288" w:lineRule="auto"/>
        <w:jc w:val="both"/>
      </w:pPr>
      <w:r>
        <w:rPr>
          <w:rFonts w:ascii="Times New Roman" w:hAnsi="Times New Roman" w:eastAsia="Noto Serif CJK SC"/>
          <w:b w:val="0"/>
          <w:i w:val="0"/>
          <w:sz w:val="22"/>
        </w:rPr>
        <w:t>该稿不宜前置为公设，也不宜后置为宣传结论；最适合置于第四编，作为开篇接口章或预备章。</w:t>
      </w:r>
    </w:p>
    <w:p w14:paraId="74A4537E">
      <w:pPr>
        <w:spacing w:before="120" w:after="40" w:line="288" w:lineRule="auto"/>
      </w:pPr>
      <w:r>
        <w:rPr>
          <w:rFonts w:ascii="Times New Roman" w:hAnsi="Times New Roman" w:eastAsia="Noto Serif CJK SC"/>
          <w:b/>
          <w:i w:val="0"/>
          <w:color w:val="2F5597"/>
          <w:sz w:val="24"/>
        </w:rPr>
        <w:t>建议位置</w:t>
      </w:r>
    </w:p>
    <w:p w14:paraId="5757BA77">
      <w:pPr>
        <w:spacing w:before="0" w:after="100" w:line="288" w:lineRule="auto"/>
        <w:jc w:val="both"/>
      </w:pPr>
      <w:r>
        <w:rPr>
          <w:rFonts w:ascii="Times New Roman" w:hAnsi="Times New Roman" w:eastAsia="Noto Serif CJK SC"/>
          <w:b w:val="0"/>
          <w:i w:val="0"/>
          <w:sz w:val="22"/>
        </w:rPr>
        <w:t>第四编第一章。</w:t>
      </w:r>
    </w:p>
    <w:p w14:paraId="1FB8FCFA">
      <w:pPr>
        <w:spacing w:before="120" w:after="40" w:line="288" w:lineRule="auto"/>
      </w:pPr>
      <w:r>
        <w:rPr>
          <w:rFonts w:ascii="Times New Roman" w:hAnsi="Times New Roman" w:eastAsia="Noto Serif CJK SC"/>
          <w:b/>
          <w:i w:val="0"/>
          <w:color w:val="2F5597"/>
          <w:sz w:val="24"/>
        </w:rPr>
        <w:t>文件定位</w:t>
      </w:r>
    </w:p>
    <w:p w14:paraId="382FCBEC">
      <w:pPr>
        <w:spacing w:before="0" w:after="100" w:line="288" w:lineRule="auto"/>
        <w:jc w:val="both"/>
      </w:pPr>
      <w:r>
        <w:rPr>
          <w:rFonts w:ascii="Times New Roman" w:hAnsi="Times New Roman" w:eastAsia="Noto Serif CJK SC"/>
          <w:b w:val="0"/>
          <w:i w:val="0"/>
          <w:sz w:val="22"/>
        </w:rPr>
        <w:t>这份稿件的性质不是终局性证明稿，而是接口设定稿。它的任务，是在 BNCFT 主体尚未完全闭合前，先把“质量问题”在全套理论中的归属位置、逻辑层级与后续施工顺序固定下来。</w:t>
      </w:r>
    </w:p>
    <w:p w14:paraId="68906A3B">
      <w:pPr>
        <w:spacing w:before="0" w:after="100" w:line="288" w:lineRule="auto"/>
        <w:jc w:val="both"/>
      </w:pPr>
      <w:r>
        <w:rPr>
          <w:rFonts w:ascii="Times New Roman" w:hAnsi="Times New Roman" w:eastAsia="Noto Serif CJK SC"/>
          <w:b w:val="0"/>
          <w:i w:val="0"/>
          <w:sz w:val="22"/>
        </w:rPr>
        <w:t>因此，它既不能过早进入第一编的公设层，也不宜作为最后总论中的结论性宣传文字；它最适合作为一个由结构走向物理、由几何接口走向有效物理量的转折章节。</w:t>
      </w:r>
    </w:p>
    <w:p w14:paraId="1DE7D0E2">
      <w:pPr>
        <w:spacing w:before="120" w:after="40" w:line="288" w:lineRule="auto"/>
      </w:pPr>
      <w:r>
        <w:rPr>
          <w:rFonts w:ascii="Times New Roman" w:hAnsi="Times New Roman" w:eastAsia="Noto Serif CJK SC"/>
          <w:b/>
          <w:i w:val="0"/>
          <w:color w:val="2F5597"/>
          <w:sz w:val="24"/>
        </w:rPr>
        <w:t>为何不放在前三编</w:t>
      </w:r>
    </w:p>
    <w:p w14:paraId="2322C03F">
      <w:pPr>
        <w:spacing w:before="0" w:after="40" w:line="288" w:lineRule="auto"/>
        <w:ind w:left="340" w:hanging="227"/>
      </w:pPr>
      <w:r>
        <w:rPr>
          <w:rFonts w:ascii="Times New Roman" w:hAnsi="Times New Roman" w:eastAsia="Noto Serif CJK SC"/>
          <w:b/>
          <w:i w:val="0"/>
          <w:color w:val="2F5597"/>
          <w:sz w:val="22"/>
        </w:rPr>
        <w:t xml:space="preserve">• </w:t>
      </w:r>
      <w:r>
        <w:rPr>
          <w:rFonts w:ascii="Times New Roman" w:hAnsi="Times New Roman" w:eastAsia="Noto Serif CJK SC"/>
          <w:b w:val="0"/>
          <w:i w:val="0"/>
          <w:sz w:val="22"/>
        </w:rPr>
        <w:t>第一编不宜正式展开：第一编负责公设、母动力学、红线与基本对象。若在这一层直接展开质量问题，容易把尚未长出的物理量提前写成概念前提。</w:t>
      </w:r>
    </w:p>
    <w:p w14:paraId="7860C059">
      <w:pPr>
        <w:spacing w:before="0" w:after="40" w:line="288" w:lineRule="auto"/>
        <w:ind w:left="340" w:hanging="227"/>
      </w:pPr>
      <w:r>
        <w:rPr>
          <w:rFonts w:ascii="Times New Roman" w:hAnsi="Times New Roman" w:eastAsia="Noto Serif CJK SC"/>
          <w:b/>
          <w:i w:val="0"/>
          <w:color w:val="2F5597"/>
          <w:sz w:val="22"/>
        </w:rPr>
        <w:t xml:space="preserve">• </w:t>
      </w:r>
      <w:r>
        <w:rPr>
          <w:rFonts w:ascii="Times New Roman" w:hAnsi="Times New Roman" w:eastAsia="Noto Serif CJK SC"/>
          <w:b w:val="0"/>
          <w:i w:val="0"/>
          <w:sz w:val="22"/>
        </w:rPr>
        <w:t>第二编不宜跳层引入：第二编聚焦更新序、因果序、时间与空间切片的构造，层级尚早。</w:t>
      </w:r>
    </w:p>
    <w:p w14:paraId="3FE4B89D">
      <w:pPr>
        <w:spacing w:before="0" w:after="40" w:line="288" w:lineRule="auto"/>
        <w:ind w:left="340" w:hanging="227"/>
      </w:pPr>
      <w:r>
        <w:rPr>
          <w:rFonts w:ascii="Times New Roman" w:hAnsi="Times New Roman" w:eastAsia="Noto Serif CJK SC"/>
          <w:b/>
          <w:i w:val="0"/>
          <w:color w:val="2F5597"/>
          <w:sz w:val="22"/>
        </w:rPr>
        <w:t xml:space="preserve">• </w:t>
      </w:r>
      <w:r>
        <w:rPr>
          <w:rFonts w:ascii="Times New Roman" w:hAnsi="Times New Roman" w:eastAsia="Noto Serif CJK SC"/>
          <w:b w:val="0"/>
          <w:i w:val="0"/>
          <w:sz w:val="22"/>
        </w:rPr>
        <w:t>第三编可挂钩但不宜承载：第三编的主任务仍是离散度量、曲率代理、切片与粗粒化几何。质量问题虽与几何相关，但本质上已属于物理解释层。</w:t>
      </w:r>
    </w:p>
    <w:p w14:paraId="22E9CC90">
      <w:pPr>
        <w:spacing w:before="120" w:after="40" w:line="288" w:lineRule="auto"/>
      </w:pPr>
      <w:r>
        <w:rPr>
          <w:rFonts w:ascii="Times New Roman" w:hAnsi="Times New Roman" w:eastAsia="Noto Serif CJK SC"/>
          <w:b/>
          <w:i w:val="0"/>
          <w:color w:val="2F5597"/>
          <w:sz w:val="24"/>
        </w:rPr>
        <w:t>为何第四编最合适</w:t>
      </w:r>
    </w:p>
    <w:p w14:paraId="1660365C">
      <w:pPr>
        <w:spacing w:before="0" w:after="100" w:line="288" w:lineRule="auto"/>
        <w:jc w:val="both"/>
      </w:pPr>
      <w:r>
        <w:rPr>
          <w:rFonts w:ascii="Times New Roman" w:hAnsi="Times New Roman" w:eastAsia="Noto Serif CJK SC"/>
          <w:b w:val="0"/>
          <w:i w:val="0"/>
          <w:sz w:val="22"/>
        </w:rPr>
        <w:t>第四编最自然的职责，是把前三编得到的底层结构开始翻译为可识别的有效物理对象。质量三分定义正属于这种承上启下的接口问题：惯性质量需要稳定态与低能动力学；被动引力质量需要外部有效几何与耦合规则；主动引力质量需要源项或边界守恒荷；三者关系又必须回到统一守恒结构中。</w:t>
      </w:r>
    </w:p>
    <w:p w14:paraId="75A0FDA3">
      <w:pPr>
        <w:spacing w:before="120" w:after="40" w:line="288" w:lineRule="auto"/>
      </w:pPr>
      <w:r>
        <w:rPr>
          <w:rFonts w:ascii="Times New Roman" w:hAnsi="Times New Roman" w:eastAsia="Noto Serif CJK SC"/>
          <w:b/>
          <w:i w:val="0"/>
          <w:color w:val="2F5597"/>
          <w:sz w:val="24"/>
        </w:rPr>
        <w:t>推荐编排方式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5669"/>
      </w:tblGrid>
      <w:tr w14:paraId="6804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2F3"/>
            <w:tcMar>
              <w:top w:w="90" w:type="dxa"/>
              <w:left w:w="100" w:type="dxa"/>
              <w:bottom w:w="90" w:type="dxa"/>
              <w:right w:w="100" w:type="dxa"/>
            </w:tcMar>
            <w:vAlign w:val="center"/>
          </w:tcPr>
          <w:p w14:paraId="43EA0D6E">
            <w:pPr>
              <w:spacing w:after="0" w:line="240" w:lineRule="auto"/>
              <w:jc w:val="center"/>
            </w:pPr>
            <w:r>
              <w:rPr>
                <w:rFonts w:ascii="Times New Roman" w:hAnsi="Times New Roman" w:eastAsia="Noto Serif CJK SC"/>
                <w:b/>
                <w:i w:val="0"/>
                <w:color w:val="1F3556"/>
                <w:sz w:val="20"/>
              </w:rPr>
              <w:t>项目</w:t>
            </w:r>
          </w:p>
        </w:tc>
        <w:tc>
          <w:tcPr>
            <w:tcW w:w="5669" w:type="dxa"/>
            <w:shd w:val="clear" w:color="auto" w:fill="D9E2F3"/>
            <w:tcMar>
              <w:top w:w="90" w:type="dxa"/>
              <w:left w:w="100" w:type="dxa"/>
              <w:bottom w:w="90" w:type="dxa"/>
              <w:right w:w="100" w:type="dxa"/>
            </w:tcMar>
            <w:vAlign w:val="center"/>
          </w:tcPr>
          <w:p w14:paraId="64C5CDAE">
            <w:pPr>
              <w:spacing w:after="0" w:line="240" w:lineRule="auto"/>
              <w:jc w:val="center"/>
            </w:pPr>
            <w:r>
              <w:rPr>
                <w:rFonts w:ascii="Times New Roman" w:hAnsi="Times New Roman" w:eastAsia="Noto Serif CJK SC"/>
                <w:b/>
                <w:i w:val="0"/>
                <w:color w:val="1F3556"/>
                <w:sz w:val="20"/>
              </w:rPr>
              <w:t>建议</w:t>
            </w:r>
          </w:p>
        </w:tc>
      </w:tr>
      <w:tr w14:paraId="405AD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06BA7AC0">
            <w:pPr>
              <w:spacing w:after="0" w:line="240" w:lineRule="auto"/>
              <w:jc w:val="center"/>
            </w:pPr>
            <w:r>
              <w:rPr>
                <w:rFonts w:ascii="Times New Roman" w:hAnsi="Times New Roman" w:eastAsia="Noto Serif CJK SC"/>
                <w:b w:val="0"/>
                <w:i w:val="0"/>
                <w:sz w:val="20"/>
              </w:rPr>
              <w:t>编名</w:t>
            </w:r>
          </w:p>
        </w:tc>
        <w:tc>
          <w:tcPr>
            <w:tcW w:w="5669" w:type="dxa"/>
            <w:tcMar>
              <w:top w:w="80" w:type="dxa"/>
              <w:left w:w="90" w:type="dxa"/>
              <w:bottom w:w="80" w:type="dxa"/>
              <w:right w:w="90" w:type="dxa"/>
            </w:tcMar>
            <w:vAlign w:val="center"/>
          </w:tcPr>
          <w:p w14:paraId="50BAD76A">
            <w:pPr>
              <w:spacing w:after="0" w:line="240" w:lineRule="auto"/>
              <w:jc w:val="left"/>
            </w:pPr>
            <w:r>
              <w:rPr>
                <w:rFonts w:ascii="Times New Roman" w:hAnsi="Times New Roman" w:eastAsia="Noto Serif CJK SC"/>
                <w:b w:val="0"/>
                <w:i w:val="0"/>
                <w:sz w:val="20"/>
              </w:rPr>
              <w:t>第四编：有效物理接口与质量问题</w:t>
            </w:r>
          </w:p>
        </w:tc>
      </w:tr>
      <w:tr w14:paraId="4E19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7DE833C3">
            <w:pPr>
              <w:spacing w:after="0" w:line="240" w:lineRule="auto"/>
              <w:jc w:val="center"/>
            </w:pPr>
            <w:r>
              <w:rPr>
                <w:rFonts w:ascii="Times New Roman" w:hAnsi="Times New Roman" w:eastAsia="Noto Serif CJK SC"/>
                <w:b w:val="0"/>
                <w:i w:val="0"/>
                <w:sz w:val="20"/>
              </w:rPr>
              <w:t>首章题目</w:t>
            </w:r>
          </w:p>
        </w:tc>
        <w:tc>
          <w:tcPr>
            <w:tcW w:w="5669" w:type="dxa"/>
            <w:tcMar>
              <w:top w:w="80" w:type="dxa"/>
              <w:left w:w="90" w:type="dxa"/>
              <w:bottom w:w="80" w:type="dxa"/>
              <w:right w:w="90" w:type="dxa"/>
            </w:tcMar>
            <w:vAlign w:val="center"/>
          </w:tcPr>
          <w:p w14:paraId="3F337F98">
            <w:pPr>
              <w:spacing w:after="0" w:line="240" w:lineRule="auto"/>
              <w:jc w:val="left"/>
            </w:pPr>
            <w:r>
              <w:rPr>
                <w:rFonts w:ascii="Times New Roman" w:hAnsi="Times New Roman" w:eastAsia="Noto Serif CJK SC"/>
                <w:b w:val="0"/>
                <w:i w:val="0"/>
                <w:sz w:val="20"/>
              </w:rPr>
              <w:t>第四编 第一章：质量三分定义及其等效性问题的接口设定</w:t>
            </w:r>
          </w:p>
        </w:tc>
      </w:tr>
      <w:tr w14:paraId="4CA9D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0B07E912">
            <w:pPr>
              <w:spacing w:after="0" w:line="240" w:lineRule="auto"/>
              <w:jc w:val="center"/>
            </w:pPr>
            <w:r>
              <w:rPr>
                <w:rFonts w:ascii="Times New Roman" w:hAnsi="Times New Roman" w:eastAsia="Noto Serif CJK SC"/>
                <w:b w:val="0"/>
                <w:i w:val="0"/>
                <w:sz w:val="20"/>
              </w:rPr>
              <w:t>章内身份</w:t>
            </w:r>
          </w:p>
        </w:tc>
        <w:tc>
          <w:tcPr>
            <w:tcW w:w="5669" w:type="dxa"/>
            <w:tcMar>
              <w:top w:w="80" w:type="dxa"/>
              <w:left w:w="90" w:type="dxa"/>
              <w:bottom w:w="80" w:type="dxa"/>
              <w:right w:w="90" w:type="dxa"/>
            </w:tcMar>
            <w:vAlign w:val="center"/>
          </w:tcPr>
          <w:p w14:paraId="7296D7E9">
            <w:pPr>
              <w:spacing w:after="0" w:line="240" w:lineRule="auto"/>
              <w:jc w:val="left"/>
            </w:pPr>
            <w:r>
              <w:rPr>
                <w:rFonts w:ascii="Times New Roman" w:hAnsi="Times New Roman" w:eastAsia="Noto Serif CJK SC"/>
                <w:b w:val="0"/>
                <w:i w:val="0"/>
                <w:sz w:val="20"/>
              </w:rPr>
              <w:t>预备章 / 接口章，而非最终证明章</w:t>
            </w:r>
          </w:p>
        </w:tc>
      </w:tr>
      <w:tr w14:paraId="47ECD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5B76911D">
            <w:pPr>
              <w:spacing w:after="0" w:line="240" w:lineRule="auto"/>
              <w:jc w:val="center"/>
            </w:pPr>
            <w:r>
              <w:rPr>
                <w:rFonts w:ascii="Times New Roman" w:hAnsi="Times New Roman" w:eastAsia="Noto Serif CJK SC"/>
                <w:b w:val="0"/>
                <w:i w:val="0"/>
                <w:sz w:val="20"/>
              </w:rPr>
              <w:t>功能说明</w:t>
            </w:r>
          </w:p>
        </w:tc>
        <w:tc>
          <w:tcPr>
            <w:tcW w:w="5669" w:type="dxa"/>
            <w:tcMar>
              <w:top w:w="80" w:type="dxa"/>
              <w:left w:w="90" w:type="dxa"/>
              <w:bottom w:w="80" w:type="dxa"/>
              <w:right w:w="90" w:type="dxa"/>
            </w:tcMar>
            <w:vAlign w:val="center"/>
          </w:tcPr>
          <w:p w14:paraId="60DD5462">
            <w:pPr>
              <w:spacing w:after="0" w:line="240" w:lineRule="auto"/>
              <w:jc w:val="left"/>
            </w:pPr>
            <w:r>
              <w:rPr>
                <w:rFonts w:ascii="Times New Roman" w:hAnsi="Times New Roman" w:eastAsia="Noto Serif CJK SC"/>
                <w:b w:val="0"/>
                <w:i w:val="0"/>
                <w:sz w:val="20"/>
              </w:rPr>
              <w:t>固定问题、固定对象、固定后续证明所需的最小条件集</w:t>
            </w:r>
          </w:p>
        </w:tc>
      </w:tr>
    </w:tbl>
    <w:p w14:paraId="17D3367D"/>
    <w:p w14:paraId="3C8DEAB5">
      <w:pPr>
        <w:spacing w:before="120" w:after="40" w:line="288" w:lineRule="auto"/>
      </w:pPr>
      <w:r>
        <w:rPr>
          <w:rFonts w:ascii="Times New Roman" w:hAnsi="Times New Roman" w:eastAsia="Noto Serif CJK SC"/>
          <w:b/>
          <w:i w:val="0"/>
          <w:color w:val="2F5597"/>
          <w:sz w:val="24"/>
        </w:rPr>
        <w:t>第四编建议章节结构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35"/>
        <w:gridCol w:w="4082"/>
      </w:tblGrid>
      <w:tr w14:paraId="603C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Mar>
              <w:top w:w="90" w:type="dxa"/>
              <w:left w:w="100" w:type="dxa"/>
              <w:bottom w:w="90" w:type="dxa"/>
              <w:right w:w="100" w:type="dxa"/>
            </w:tcMar>
            <w:vAlign w:val="center"/>
          </w:tcPr>
          <w:p w14:paraId="66997EA9">
            <w:pPr>
              <w:spacing w:after="0" w:line="240" w:lineRule="auto"/>
              <w:jc w:val="center"/>
            </w:pPr>
            <w:r>
              <w:rPr>
                <w:rFonts w:ascii="Times New Roman" w:hAnsi="Times New Roman" w:eastAsia="Noto Serif CJK SC"/>
                <w:b/>
                <w:i w:val="0"/>
                <w:color w:val="1F3556"/>
                <w:sz w:val="20"/>
              </w:rPr>
              <w:t>章次</w:t>
            </w:r>
          </w:p>
        </w:tc>
        <w:tc>
          <w:tcPr>
            <w:tcW w:w="2835" w:type="dxa"/>
            <w:shd w:val="clear" w:color="auto" w:fill="D9E2F3"/>
            <w:tcMar>
              <w:top w:w="90" w:type="dxa"/>
              <w:left w:w="100" w:type="dxa"/>
              <w:bottom w:w="90" w:type="dxa"/>
              <w:right w:w="100" w:type="dxa"/>
            </w:tcMar>
            <w:vAlign w:val="center"/>
          </w:tcPr>
          <w:p w14:paraId="7E07DE45">
            <w:pPr>
              <w:spacing w:after="0" w:line="240" w:lineRule="auto"/>
              <w:jc w:val="center"/>
            </w:pPr>
            <w:r>
              <w:rPr>
                <w:rFonts w:ascii="Times New Roman" w:hAnsi="Times New Roman" w:eastAsia="Noto Serif CJK SC"/>
                <w:b/>
                <w:i w:val="0"/>
                <w:color w:val="1F3556"/>
                <w:sz w:val="20"/>
              </w:rPr>
              <w:t>建议标题</w:t>
            </w:r>
          </w:p>
        </w:tc>
        <w:tc>
          <w:tcPr>
            <w:tcW w:w="4082" w:type="dxa"/>
            <w:shd w:val="clear" w:color="auto" w:fill="D9E2F3"/>
            <w:tcMar>
              <w:top w:w="90" w:type="dxa"/>
              <w:left w:w="100" w:type="dxa"/>
              <w:bottom w:w="90" w:type="dxa"/>
              <w:right w:w="100" w:type="dxa"/>
            </w:tcMar>
            <w:vAlign w:val="center"/>
          </w:tcPr>
          <w:p w14:paraId="3DD3D908">
            <w:pPr>
              <w:spacing w:after="0" w:line="240" w:lineRule="auto"/>
              <w:jc w:val="center"/>
            </w:pPr>
            <w:r>
              <w:rPr>
                <w:rFonts w:ascii="Times New Roman" w:hAnsi="Times New Roman" w:eastAsia="Noto Serif CJK SC"/>
                <w:b/>
                <w:i w:val="0"/>
                <w:color w:val="1F3556"/>
                <w:sz w:val="20"/>
              </w:rPr>
              <w:t>功能说明</w:t>
            </w:r>
          </w:p>
        </w:tc>
      </w:tr>
      <w:tr w14:paraId="5564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53419186">
            <w:pPr>
              <w:spacing w:after="0" w:line="240" w:lineRule="auto"/>
              <w:jc w:val="center"/>
            </w:pPr>
            <w:r>
              <w:rPr>
                <w:rFonts w:ascii="Times New Roman" w:hAnsi="Times New Roman" w:eastAsia="Noto Serif CJK SC"/>
                <w:b w:val="0"/>
                <w:i w:val="0"/>
                <w:sz w:val="20"/>
              </w:rPr>
              <w:t>第一章</w:t>
            </w:r>
          </w:p>
        </w:tc>
        <w:tc>
          <w:tcPr>
            <w:tcW w:w="2835" w:type="dxa"/>
            <w:tcMar>
              <w:top w:w="80" w:type="dxa"/>
              <w:left w:w="90" w:type="dxa"/>
              <w:bottom w:w="80" w:type="dxa"/>
              <w:right w:w="90" w:type="dxa"/>
            </w:tcMar>
            <w:vAlign w:val="center"/>
          </w:tcPr>
          <w:p w14:paraId="7EC74CA4">
            <w:pPr>
              <w:spacing w:after="0" w:line="240" w:lineRule="auto"/>
              <w:jc w:val="left"/>
            </w:pPr>
            <w:r>
              <w:rPr>
                <w:rFonts w:ascii="Times New Roman" w:hAnsi="Times New Roman" w:eastAsia="Noto Serif CJK SC"/>
                <w:b w:val="0"/>
                <w:i w:val="0"/>
                <w:sz w:val="20"/>
              </w:rPr>
              <w:t>质量三分定义及其等效性问题的接口设定</w:t>
            </w:r>
          </w:p>
        </w:tc>
        <w:tc>
          <w:tcPr>
            <w:tcW w:w="4082" w:type="dxa"/>
            <w:tcMar>
              <w:top w:w="80" w:type="dxa"/>
              <w:left w:w="90" w:type="dxa"/>
              <w:bottom w:w="80" w:type="dxa"/>
              <w:right w:w="90" w:type="dxa"/>
            </w:tcMar>
            <w:vAlign w:val="center"/>
          </w:tcPr>
          <w:p w14:paraId="3F91F7BB">
            <w:pPr>
              <w:spacing w:after="0" w:line="240" w:lineRule="auto"/>
              <w:jc w:val="left"/>
            </w:pPr>
            <w:r>
              <w:rPr>
                <w:rFonts w:ascii="Times New Roman" w:hAnsi="Times New Roman" w:eastAsia="Noto Serif CJK SC"/>
                <w:b w:val="0"/>
                <w:i w:val="0"/>
                <w:sz w:val="20"/>
              </w:rPr>
              <w:t>明确三类质量的区分及其接口来源</w:t>
            </w:r>
          </w:p>
        </w:tc>
      </w:tr>
      <w:tr w14:paraId="0D27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7F27409B">
            <w:pPr>
              <w:spacing w:after="0" w:line="240" w:lineRule="auto"/>
              <w:jc w:val="center"/>
            </w:pPr>
            <w:r>
              <w:rPr>
                <w:rFonts w:ascii="Times New Roman" w:hAnsi="Times New Roman" w:eastAsia="Noto Serif CJK SC"/>
                <w:b w:val="0"/>
                <w:i w:val="0"/>
                <w:sz w:val="20"/>
              </w:rPr>
              <w:t>第二章</w:t>
            </w:r>
          </w:p>
        </w:tc>
        <w:tc>
          <w:tcPr>
            <w:tcW w:w="2835" w:type="dxa"/>
            <w:tcMar>
              <w:top w:w="80" w:type="dxa"/>
              <w:left w:w="90" w:type="dxa"/>
              <w:bottom w:w="80" w:type="dxa"/>
              <w:right w:w="90" w:type="dxa"/>
            </w:tcMar>
            <w:vAlign w:val="center"/>
          </w:tcPr>
          <w:p w14:paraId="534A7E3F">
            <w:pPr>
              <w:spacing w:after="0" w:line="240" w:lineRule="auto"/>
              <w:jc w:val="left"/>
            </w:pPr>
            <w:r>
              <w:rPr>
                <w:rFonts w:ascii="Times New Roman" w:hAnsi="Times New Roman" w:eastAsia="Noto Serif CJK SC"/>
                <w:b w:val="0"/>
                <w:i w:val="0"/>
                <w:sz w:val="20"/>
              </w:rPr>
              <w:t>稳定激发与有效粒子态</w:t>
            </w:r>
          </w:p>
        </w:tc>
        <w:tc>
          <w:tcPr>
            <w:tcW w:w="4082" w:type="dxa"/>
            <w:tcMar>
              <w:top w:w="80" w:type="dxa"/>
              <w:left w:w="90" w:type="dxa"/>
              <w:bottom w:w="80" w:type="dxa"/>
              <w:right w:w="90" w:type="dxa"/>
            </w:tcMar>
            <w:vAlign w:val="center"/>
          </w:tcPr>
          <w:p w14:paraId="6336C894">
            <w:pPr>
              <w:spacing w:after="0" w:line="240" w:lineRule="auto"/>
              <w:jc w:val="left"/>
            </w:pPr>
            <w:r>
              <w:rPr>
                <w:rFonts w:ascii="Times New Roman" w:hAnsi="Times New Roman" w:eastAsia="Noto Serif CJK SC"/>
                <w:b w:val="0"/>
                <w:i w:val="0"/>
                <w:sz w:val="20"/>
              </w:rPr>
              <w:t>说明哪些结构可识别为稳定态</w:t>
            </w:r>
          </w:p>
        </w:tc>
      </w:tr>
      <w:tr w14:paraId="69AB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52BAE410">
            <w:pPr>
              <w:spacing w:after="0" w:line="240" w:lineRule="auto"/>
              <w:jc w:val="center"/>
            </w:pPr>
            <w:r>
              <w:rPr>
                <w:rFonts w:ascii="Times New Roman" w:hAnsi="Times New Roman" w:eastAsia="Noto Serif CJK SC"/>
                <w:b w:val="0"/>
                <w:i w:val="0"/>
                <w:sz w:val="20"/>
              </w:rPr>
              <w:t>第三章</w:t>
            </w:r>
          </w:p>
        </w:tc>
        <w:tc>
          <w:tcPr>
            <w:tcW w:w="2835" w:type="dxa"/>
            <w:tcMar>
              <w:top w:w="80" w:type="dxa"/>
              <w:left w:w="90" w:type="dxa"/>
              <w:bottom w:w="80" w:type="dxa"/>
              <w:right w:w="90" w:type="dxa"/>
            </w:tcMar>
            <w:vAlign w:val="center"/>
          </w:tcPr>
          <w:p w14:paraId="613307BD">
            <w:pPr>
              <w:spacing w:after="0" w:line="240" w:lineRule="auto"/>
              <w:jc w:val="left"/>
            </w:pPr>
            <w:r>
              <w:rPr>
                <w:rFonts w:ascii="Times New Roman" w:hAnsi="Times New Roman" w:eastAsia="Noto Serif CJK SC"/>
                <w:b w:val="0"/>
                <w:i w:val="0"/>
                <w:sz w:val="20"/>
              </w:rPr>
              <w:t>外部有效几何与被动引力耦合</w:t>
            </w:r>
          </w:p>
        </w:tc>
        <w:tc>
          <w:tcPr>
            <w:tcW w:w="4082" w:type="dxa"/>
            <w:tcMar>
              <w:top w:w="80" w:type="dxa"/>
              <w:left w:w="90" w:type="dxa"/>
              <w:bottom w:w="80" w:type="dxa"/>
              <w:right w:w="90" w:type="dxa"/>
            </w:tcMar>
            <w:vAlign w:val="center"/>
          </w:tcPr>
          <w:p w14:paraId="759F9058">
            <w:pPr>
              <w:spacing w:after="0" w:line="240" w:lineRule="auto"/>
              <w:jc w:val="left"/>
            </w:pPr>
            <w:r>
              <w:rPr>
                <w:rFonts w:ascii="Times New Roman" w:hAnsi="Times New Roman" w:eastAsia="Noto Serif CJK SC"/>
                <w:b w:val="0"/>
                <w:i w:val="0"/>
                <w:sz w:val="20"/>
              </w:rPr>
              <w:t>读出被动引力质量接口</w:t>
            </w:r>
          </w:p>
        </w:tc>
      </w:tr>
      <w:tr w14:paraId="19FD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770A032E">
            <w:pPr>
              <w:spacing w:after="0" w:line="240" w:lineRule="auto"/>
              <w:jc w:val="center"/>
            </w:pPr>
            <w:r>
              <w:rPr>
                <w:rFonts w:ascii="Times New Roman" w:hAnsi="Times New Roman" w:eastAsia="Noto Serif CJK SC"/>
                <w:b w:val="0"/>
                <w:i w:val="0"/>
                <w:sz w:val="20"/>
              </w:rPr>
              <w:t>第四章</w:t>
            </w:r>
          </w:p>
        </w:tc>
        <w:tc>
          <w:tcPr>
            <w:tcW w:w="2835" w:type="dxa"/>
            <w:tcMar>
              <w:top w:w="80" w:type="dxa"/>
              <w:left w:w="90" w:type="dxa"/>
              <w:bottom w:w="80" w:type="dxa"/>
              <w:right w:w="90" w:type="dxa"/>
            </w:tcMar>
            <w:vAlign w:val="center"/>
          </w:tcPr>
          <w:p w14:paraId="6F081760">
            <w:pPr>
              <w:spacing w:after="0" w:line="240" w:lineRule="auto"/>
              <w:jc w:val="left"/>
            </w:pPr>
            <w:r>
              <w:rPr>
                <w:rFonts w:ascii="Times New Roman" w:hAnsi="Times New Roman" w:eastAsia="Noto Serif CJK SC"/>
                <w:b w:val="0"/>
                <w:i w:val="0"/>
                <w:sz w:val="20"/>
              </w:rPr>
              <w:t>源项、守恒流与边界荷</w:t>
            </w:r>
          </w:p>
        </w:tc>
        <w:tc>
          <w:tcPr>
            <w:tcW w:w="4082" w:type="dxa"/>
            <w:tcMar>
              <w:top w:w="80" w:type="dxa"/>
              <w:left w:w="90" w:type="dxa"/>
              <w:bottom w:w="80" w:type="dxa"/>
              <w:right w:w="90" w:type="dxa"/>
            </w:tcMar>
            <w:vAlign w:val="center"/>
          </w:tcPr>
          <w:p w14:paraId="5B4F4F69">
            <w:pPr>
              <w:spacing w:after="0" w:line="240" w:lineRule="auto"/>
              <w:jc w:val="left"/>
            </w:pPr>
            <w:r>
              <w:rPr>
                <w:rFonts w:ascii="Times New Roman" w:hAnsi="Times New Roman" w:eastAsia="Noto Serif CJK SC"/>
                <w:b w:val="0"/>
                <w:i w:val="0"/>
                <w:sz w:val="20"/>
              </w:rPr>
              <w:t>刻画主动引力质量接口</w:t>
            </w:r>
          </w:p>
        </w:tc>
      </w:tr>
      <w:tr w14:paraId="79FEF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7C86E558">
            <w:pPr>
              <w:spacing w:after="0" w:line="240" w:lineRule="auto"/>
              <w:jc w:val="center"/>
            </w:pPr>
            <w:r>
              <w:rPr>
                <w:rFonts w:ascii="Times New Roman" w:hAnsi="Times New Roman" w:eastAsia="Noto Serif CJK SC"/>
                <w:b w:val="0"/>
                <w:i w:val="0"/>
                <w:sz w:val="20"/>
              </w:rPr>
              <w:t>第五章</w:t>
            </w:r>
          </w:p>
        </w:tc>
        <w:tc>
          <w:tcPr>
            <w:tcW w:w="2835" w:type="dxa"/>
            <w:tcMar>
              <w:top w:w="80" w:type="dxa"/>
              <w:left w:w="90" w:type="dxa"/>
              <w:bottom w:w="80" w:type="dxa"/>
              <w:right w:w="90" w:type="dxa"/>
            </w:tcMar>
            <w:vAlign w:val="center"/>
          </w:tcPr>
          <w:p w14:paraId="758E47C4">
            <w:pPr>
              <w:spacing w:after="0" w:line="240" w:lineRule="auto"/>
              <w:jc w:val="left"/>
            </w:pPr>
            <w:r>
              <w:rPr>
                <w:rFonts w:ascii="Times New Roman" w:hAnsi="Times New Roman" w:eastAsia="Noto Serif CJK SC"/>
                <w:b w:val="0"/>
                <w:i w:val="0"/>
                <w:sz w:val="20"/>
              </w:rPr>
              <w:t>弱场极限与等效性待证命题</w:t>
            </w:r>
          </w:p>
        </w:tc>
        <w:tc>
          <w:tcPr>
            <w:tcW w:w="4082" w:type="dxa"/>
            <w:tcMar>
              <w:top w:w="80" w:type="dxa"/>
              <w:left w:w="90" w:type="dxa"/>
              <w:bottom w:w="80" w:type="dxa"/>
              <w:right w:w="90" w:type="dxa"/>
            </w:tcMar>
            <w:vAlign w:val="center"/>
          </w:tcPr>
          <w:p w14:paraId="08FAD935">
            <w:pPr>
              <w:spacing w:after="0" w:line="240" w:lineRule="auto"/>
              <w:jc w:val="left"/>
            </w:pPr>
            <w:r>
              <w:rPr>
                <w:rFonts w:ascii="Times New Roman" w:hAnsi="Times New Roman" w:eastAsia="Noto Serif CJK SC"/>
                <w:b w:val="0"/>
                <w:i w:val="0"/>
                <w:sz w:val="20"/>
              </w:rPr>
              <w:t>在统一弱场下比较三类质量</w:t>
            </w:r>
          </w:p>
        </w:tc>
      </w:tr>
    </w:tbl>
    <w:p w14:paraId="2A9B8AF1"/>
    <w:p w14:paraId="27A7FB6F">
      <w:pPr>
        <w:spacing w:before="120" w:after="40" w:line="288" w:lineRule="auto"/>
      </w:pPr>
      <w:r>
        <w:rPr>
          <w:rFonts w:ascii="Times New Roman" w:hAnsi="Times New Roman" w:eastAsia="Noto Serif CJK SC"/>
          <w:b/>
          <w:i w:val="0"/>
          <w:color w:val="2F5597"/>
          <w:sz w:val="24"/>
        </w:rPr>
        <w:t>阶段性结论</w:t>
      </w:r>
    </w:p>
    <w:p w14:paraId="43741C33">
      <w:pPr>
        <w:spacing w:before="0" w:after="100" w:line="288" w:lineRule="auto"/>
        <w:jc w:val="both"/>
      </w:pPr>
      <w:r>
        <w:rPr>
          <w:rFonts w:ascii="Times New Roman" w:hAnsi="Times New Roman" w:eastAsia="Noto Serif CJK SC"/>
          <w:b w:val="0"/>
          <w:i w:val="0"/>
          <w:sz w:val="22"/>
        </w:rPr>
        <w:t>综合逻辑顺序、编间分工与后续可施工性来看，这份接口说明稿最适合作为 BNCFT 第四编第一章。它不是前三编的补丁，也不是最后总论的宣传结论，而是从离散几何转向有效物理量时必须预埋的关键接口。</w:t>
      </w:r>
    </w:p>
    <w:p w14:paraId="5CEF02E0">
      <w:r>
        <w:br w:type="page"/>
      </w:r>
    </w:p>
    <w:p w14:paraId="562C5D84">
      <w:pPr>
        <w:spacing w:before="160" w:after="80" w:line="288" w:lineRule="auto"/>
      </w:pPr>
      <w:r>
        <w:rPr>
          <w:rFonts w:ascii="Times New Roman" w:hAnsi="Times New Roman" w:eastAsia="Noto Serif CJK SC"/>
          <w:b/>
          <w:i w:val="0"/>
          <w:color w:val="1F3556"/>
          <w:sz w:val="28"/>
        </w:rPr>
        <w:t>English Version</w:t>
      </w:r>
    </w:p>
    <w:p w14:paraId="60637F3E">
      <w:pPr>
        <w:spacing w:before="120" w:after="40" w:line="288" w:lineRule="auto"/>
      </w:pPr>
      <w:r>
        <w:rPr>
          <w:rFonts w:ascii="Times New Roman" w:hAnsi="Times New Roman" w:eastAsia="Noto Serif CJK SC"/>
          <w:b/>
          <w:i w:val="0"/>
          <w:color w:val="2F5597"/>
          <w:sz w:val="24"/>
        </w:rPr>
        <w:t>Purpose</w:t>
      </w:r>
    </w:p>
    <w:p w14:paraId="5CBEA6A4">
      <w:pPr>
        <w:spacing w:before="0" w:after="100" w:line="288" w:lineRule="auto"/>
        <w:jc w:val="both"/>
      </w:pPr>
      <w:r>
        <w:rPr>
          <w:rFonts w:ascii="Times New Roman" w:hAnsi="Times New Roman" w:eastAsia="Noto Serif CJK SC"/>
          <w:b w:val="0"/>
          <w:i w:val="0"/>
          <w:sz w:val="22"/>
        </w:rPr>
        <w:t>To determine the correct placement and editorial role of the note on the threefold definition of mass and the equivalence problem within the BNCFT corpus.</w:t>
      </w:r>
    </w:p>
    <w:p w14:paraId="2E5A87A7">
      <w:pPr>
        <w:spacing w:before="120" w:after="40" w:line="288" w:lineRule="auto"/>
      </w:pPr>
      <w:r>
        <w:rPr>
          <w:rFonts w:ascii="Times New Roman" w:hAnsi="Times New Roman" w:eastAsia="Noto Serif CJK SC"/>
          <w:b/>
          <w:i w:val="0"/>
          <w:color w:val="2F5597"/>
          <w:sz w:val="24"/>
        </w:rPr>
        <w:t>Core Recommendation</w:t>
      </w:r>
    </w:p>
    <w:p w14:paraId="59B45370">
      <w:pPr>
        <w:spacing w:before="0" w:after="100" w:line="288" w:lineRule="auto"/>
        <w:jc w:val="both"/>
      </w:pPr>
      <w:r>
        <w:rPr>
          <w:rFonts w:ascii="Times New Roman" w:hAnsi="Times New Roman" w:eastAsia="Noto Serif CJK SC"/>
          <w:b w:val="0"/>
          <w:i w:val="0"/>
          <w:sz w:val="22"/>
        </w:rPr>
        <w:t>The note should neither be elevated into the axiomatic layer nor postponed into a rhetorical conclusion. It is best placed as the opening interface chapter of Volume IV.</w:t>
      </w:r>
    </w:p>
    <w:p w14:paraId="265FC190">
      <w:pPr>
        <w:spacing w:before="120" w:after="40" w:line="288" w:lineRule="auto"/>
      </w:pPr>
      <w:r>
        <w:rPr>
          <w:rFonts w:ascii="Times New Roman" w:hAnsi="Times New Roman" w:eastAsia="Noto Serif CJK SC"/>
          <w:b/>
          <w:i w:val="0"/>
          <w:color w:val="2F5597"/>
          <w:sz w:val="24"/>
        </w:rPr>
        <w:t>Why Not in Volumes I–III</w:t>
      </w:r>
    </w:p>
    <w:p w14:paraId="1FD1AA8E">
      <w:pPr>
        <w:spacing w:before="0" w:after="40" w:line="288" w:lineRule="auto"/>
        <w:ind w:left="340" w:hanging="227"/>
      </w:pPr>
      <w:r>
        <w:rPr>
          <w:rFonts w:ascii="Times New Roman" w:hAnsi="Times New Roman" w:eastAsia="Noto Serif CJK SC"/>
          <w:b/>
          <w:i w:val="0"/>
          <w:color w:val="2F5597"/>
          <w:sz w:val="22"/>
        </w:rPr>
        <w:t xml:space="preserve">• </w:t>
      </w:r>
      <w:r>
        <w:rPr>
          <w:rFonts w:ascii="Times New Roman" w:hAnsi="Times New Roman" w:eastAsia="Noto Serif CJK SC"/>
          <w:b w:val="0"/>
          <w:i w:val="0"/>
          <w:sz w:val="22"/>
        </w:rPr>
        <w:t>Volume I should remain the level of axioms, mother dynamics, red lines, and basic objects.</w:t>
      </w:r>
    </w:p>
    <w:p w14:paraId="0EAA85B4">
      <w:pPr>
        <w:spacing w:before="0" w:after="40" w:line="288" w:lineRule="auto"/>
        <w:ind w:left="340" w:hanging="227"/>
      </w:pPr>
      <w:r>
        <w:rPr>
          <w:rFonts w:ascii="Times New Roman" w:hAnsi="Times New Roman" w:eastAsia="Noto Serif CJK SC"/>
          <w:b/>
          <w:i w:val="0"/>
          <w:color w:val="2F5597"/>
          <w:sz w:val="22"/>
        </w:rPr>
        <w:t xml:space="preserve">• </w:t>
      </w:r>
      <w:r>
        <w:rPr>
          <w:rFonts w:ascii="Times New Roman" w:hAnsi="Times New Roman" w:eastAsia="Noto Serif CJK SC"/>
          <w:b w:val="0"/>
          <w:i w:val="0"/>
          <w:sz w:val="22"/>
        </w:rPr>
        <w:t>Volume II is still occupied with update order, causal order, and slicing construction.</w:t>
      </w:r>
    </w:p>
    <w:p w14:paraId="47D12D66">
      <w:pPr>
        <w:spacing w:before="0" w:after="40" w:line="288" w:lineRule="auto"/>
        <w:ind w:left="340" w:hanging="227"/>
      </w:pPr>
      <w:r>
        <w:rPr>
          <w:rFonts w:ascii="Times New Roman" w:hAnsi="Times New Roman" w:eastAsia="Noto Serif CJK SC"/>
          <w:b/>
          <w:i w:val="0"/>
          <w:color w:val="2F5597"/>
          <w:sz w:val="22"/>
        </w:rPr>
        <w:t xml:space="preserve">• </w:t>
      </w:r>
      <w:r>
        <w:rPr>
          <w:rFonts w:ascii="Times New Roman" w:hAnsi="Times New Roman" w:eastAsia="Noto Serif CJK SC"/>
          <w:b w:val="0"/>
          <w:i w:val="0"/>
          <w:sz w:val="22"/>
        </w:rPr>
        <w:t>Volume III may provide the geometric bridge, but should not carry the full burden of mass interpretation.</w:t>
      </w:r>
    </w:p>
    <w:p w14:paraId="69CFA124">
      <w:pPr>
        <w:spacing w:before="120" w:after="40" w:line="288" w:lineRule="auto"/>
      </w:pPr>
      <w:r>
        <w:rPr>
          <w:rFonts w:ascii="Times New Roman" w:hAnsi="Times New Roman" w:eastAsia="Noto Serif CJK SC"/>
          <w:b/>
          <w:i w:val="0"/>
          <w:color w:val="2F5597"/>
          <w:sz w:val="24"/>
        </w:rPr>
        <w:t>Why Volume IV Is the Best Place</w:t>
      </w:r>
    </w:p>
    <w:p w14:paraId="1FBC03F2">
      <w:pPr>
        <w:spacing w:before="0" w:after="100" w:line="288" w:lineRule="auto"/>
        <w:jc w:val="both"/>
      </w:pPr>
      <w:r>
        <w:rPr>
          <w:rFonts w:ascii="Times New Roman" w:hAnsi="Times New Roman" w:eastAsia="Noto Serif CJK SC"/>
          <w:b w:val="0"/>
          <w:i w:val="0"/>
          <w:sz w:val="22"/>
        </w:rPr>
        <w:t>Volume IV is the natural place where the structural results of the first three volumes begin to be translated into recognizable effective physical objects. The threefold definition of mass is exactly such an interface problem.</w:t>
      </w:r>
    </w:p>
    <w:p w14:paraId="678259BC">
      <w:pPr>
        <w:spacing w:before="120" w:after="40" w:line="288" w:lineRule="auto"/>
      </w:pPr>
      <w:r>
        <w:rPr>
          <w:rFonts w:ascii="Times New Roman" w:hAnsi="Times New Roman" w:eastAsia="Noto Serif CJK SC"/>
          <w:b/>
          <w:i w:val="0"/>
          <w:color w:val="2F5597"/>
          <w:sz w:val="24"/>
        </w:rPr>
        <w:t>Recommended Structure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5783"/>
      </w:tblGrid>
      <w:tr w14:paraId="17F48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shd w:val="clear" w:color="auto" w:fill="D9E2F3"/>
            <w:tcMar>
              <w:top w:w="90" w:type="dxa"/>
              <w:left w:w="100" w:type="dxa"/>
              <w:bottom w:w="90" w:type="dxa"/>
              <w:right w:w="100" w:type="dxa"/>
            </w:tcMar>
            <w:vAlign w:val="center"/>
          </w:tcPr>
          <w:p w14:paraId="5ED3D650">
            <w:pPr>
              <w:spacing w:after="0" w:line="240" w:lineRule="auto"/>
              <w:jc w:val="center"/>
            </w:pPr>
            <w:r>
              <w:rPr>
                <w:rFonts w:ascii="Times New Roman" w:hAnsi="Times New Roman" w:eastAsia="Noto Serif CJK SC"/>
                <w:b/>
                <w:i w:val="0"/>
                <w:color w:val="1F3556"/>
                <w:sz w:val="20"/>
              </w:rPr>
              <w:t>Item</w:t>
            </w:r>
          </w:p>
        </w:tc>
        <w:tc>
          <w:tcPr>
            <w:tcW w:w="5783" w:type="dxa"/>
            <w:shd w:val="clear" w:color="auto" w:fill="D9E2F3"/>
            <w:tcMar>
              <w:top w:w="90" w:type="dxa"/>
              <w:left w:w="100" w:type="dxa"/>
              <w:bottom w:w="90" w:type="dxa"/>
              <w:right w:w="100" w:type="dxa"/>
            </w:tcMar>
            <w:vAlign w:val="center"/>
          </w:tcPr>
          <w:p w14:paraId="2DD24FF6">
            <w:pPr>
              <w:spacing w:after="0" w:line="240" w:lineRule="auto"/>
              <w:jc w:val="center"/>
            </w:pPr>
            <w:r>
              <w:rPr>
                <w:rFonts w:ascii="Times New Roman" w:hAnsi="Times New Roman" w:eastAsia="Noto Serif CJK SC"/>
                <w:b/>
                <w:i w:val="0"/>
                <w:color w:val="1F3556"/>
                <w:sz w:val="20"/>
              </w:rPr>
              <w:t>Recommendation</w:t>
            </w:r>
          </w:p>
        </w:tc>
      </w:tr>
      <w:tr w14:paraId="2B3F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40AE41D0">
            <w:pPr>
              <w:spacing w:after="0" w:line="240" w:lineRule="auto"/>
              <w:jc w:val="center"/>
            </w:pPr>
            <w:r>
              <w:rPr>
                <w:rFonts w:ascii="Times New Roman" w:hAnsi="Times New Roman" w:eastAsia="Noto Serif CJK SC"/>
                <w:b w:val="0"/>
                <w:i w:val="0"/>
                <w:sz w:val="20"/>
              </w:rPr>
              <w:t>Volume title</w:t>
            </w:r>
          </w:p>
        </w:tc>
        <w:tc>
          <w:tcPr>
            <w:tcW w:w="5783" w:type="dxa"/>
            <w:tcMar>
              <w:top w:w="80" w:type="dxa"/>
              <w:left w:w="90" w:type="dxa"/>
              <w:bottom w:w="80" w:type="dxa"/>
              <w:right w:w="90" w:type="dxa"/>
            </w:tcMar>
            <w:vAlign w:val="center"/>
          </w:tcPr>
          <w:p w14:paraId="6F5D3C64">
            <w:pPr>
              <w:spacing w:after="0" w:line="240" w:lineRule="auto"/>
              <w:jc w:val="left"/>
            </w:pPr>
            <w:r>
              <w:rPr>
                <w:rFonts w:ascii="Times New Roman" w:hAnsi="Times New Roman" w:eastAsia="Noto Serif CJK SC"/>
                <w:b w:val="0"/>
                <w:i w:val="0"/>
                <w:sz w:val="20"/>
              </w:rPr>
              <w:t>Volume IV: Effective Physical Interfaces and the Mass Problem</w:t>
            </w:r>
          </w:p>
        </w:tc>
      </w:tr>
      <w:tr w14:paraId="094A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52389CF1">
            <w:pPr>
              <w:spacing w:after="0" w:line="240" w:lineRule="auto"/>
              <w:jc w:val="center"/>
            </w:pPr>
            <w:r>
              <w:rPr>
                <w:rFonts w:ascii="Times New Roman" w:hAnsi="Times New Roman" w:eastAsia="Noto Serif CJK SC"/>
                <w:b w:val="0"/>
                <w:i w:val="0"/>
                <w:sz w:val="20"/>
              </w:rPr>
              <w:t>Chapter title</w:t>
            </w:r>
          </w:p>
        </w:tc>
        <w:tc>
          <w:tcPr>
            <w:tcW w:w="5783" w:type="dxa"/>
            <w:tcMar>
              <w:top w:w="80" w:type="dxa"/>
              <w:left w:w="90" w:type="dxa"/>
              <w:bottom w:w="80" w:type="dxa"/>
              <w:right w:w="90" w:type="dxa"/>
            </w:tcMar>
            <w:vAlign w:val="center"/>
          </w:tcPr>
          <w:p w14:paraId="4A84B4A1">
            <w:pPr>
              <w:spacing w:after="0" w:line="240" w:lineRule="auto"/>
              <w:jc w:val="left"/>
            </w:pPr>
            <w:r>
              <w:rPr>
                <w:rFonts w:ascii="Times New Roman" w:hAnsi="Times New Roman" w:eastAsia="Noto Serif CJK SC"/>
                <w:b w:val="0"/>
                <w:i w:val="0"/>
                <w:sz w:val="20"/>
              </w:rPr>
              <w:t>Chapter 1: Interface Setup for the Threefold Definition of Mass and the Equivalence Problem</w:t>
            </w:r>
          </w:p>
        </w:tc>
      </w:tr>
      <w:tr w14:paraId="1976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603F8208">
            <w:pPr>
              <w:spacing w:after="0" w:line="240" w:lineRule="auto"/>
              <w:jc w:val="center"/>
            </w:pPr>
            <w:r>
              <w:rPr>
                <w:rFonts w:ascii="Times New Roman" w:hAnsi="Times New Roman" w:eastAsia="Noto Serif CJK SC"/>
                <w:b w:val="0"/>
                <w:i w:val="0"/>
                <w:sz w:val="20"/>
              </w:rPr>
              <w:t>Status</w:t>
            </w:r>
          </w:p>
        </w:tc>
        <w:tc>
          <w:tcPr>
            <w:tcW w:w="5783" w:type="dxa"/>
            <w:tcMar>
              <w:top w:w="80" w:type="dxa"/>
              <w:left w:w="90" w:type="dxa"/>
              <w:bottom w:w="80" w:type="dxa"/>
              <w:right w:w="90" w:type="dxa"/>
            </w:tcMar>
            <w:vAlign w:val="center"/>
          </w:tcPr>
          <w:p w14:paraId="600CCB5C">
            <w:pPr>
              <w:spacing w:after="0" w:line="240" w:lineRule="auto"/>
              <w:jc w:val="left"/>
            </w:pPr>
            <w:r>
              <w:rPr>
                <w:rFonts w:ascii="Times New Roman" w:hAnsi="Times New Roman" w:eastAsia="Noto Serif CJK SC"/>
                <w:b w:val="0"/>
                <w:i w:val="0"/>
                <w:sz w:val="20"/>
              </w:rPr>
              <w:t>Preparatory / interface chapter, not a final proof chapter</w:t>
            </w:r>
          </w:p>
        </w:tc>
      </w:tr>
      <w:tr w14:paraId="1A51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0F8F3CA9">
            <w:pPr>
              <w:spacing w:after="0" w:line="240" w:lineRule="auto"/>
              <w:jc w:val="center"/>
            </w:pPr>
            <w:r>
              <w:rPr>
                <w:rFonts w:ascii="Times New Roman" w:hAnsi="Times New Roman" w:eastAsia="Noto Serif CJK SC"/>
                <w:b w:val="0"/>
                <w:i w:val="0"/>
                <w:sz w:val="20"/>
              </w:rPr>
              <w:t>Function</w:t>
            </w:r>
          </w:p>
        </w:tc>
        <w:tc>
          <w:tcPr>
            <w:tcW w:w="5783" w:type="dxa"/>
            <w:tcMar>
              <w:top w:w="80" w:type="dxa"/>
              <w:left w:w="90" w:type="dxa"/>
              <w:bottom w:w="80" w:type="dxa"/>
              <w:right w:w="90" w:type="dxa"/>
            </w:tcMar>
            <w:vAlign w:val="center"/>
          </w:tcPr>
          <w:p w14:paraId="1FF78676">
            <w:pPr>
              <w:spacing w:after="0" w:line="240" w:lineRule="auto"/>
              <w:jc w:val="left"/>
            </w:pPr>
            <w:r>
              <w:rPr>
                <w:rFonts w:ascii="Times New Roman" w:hAnsi="Times New Roman" w:eastAsia="Noto Serif CJK SC"/>
                <w:b w:val="0"/>
                <w:i w:val="0"/>
                <w:sz w:val="20"/>
              </w:rPr>
              <w:t>Fix the problem, the objects, and the minimal conditions required for later proof</w:t>
            </w:r>
          </w:p>
        </w:tc>
      </w:tr>
    </w:tbl>
    <w:p w14:paraId="7DB48AC3"/>
    <w:p w14:paraId="2A4A83E6">
      <w:pPr>
        <w:spacing w:before="120" w:after="40" w:line="288" w:lineRule="auto"/>
      </w:pPr>
      <w:r>
        <w:rPr>
          <w:rFonts w:ascii="Times New Roman" w:hAnsi="Times New Roman" w:eastAsia="Noto Serif CJK SC"/>
          <w:b/>
          <w:i w:val="0"/>
          <w:color w:val="2F5597"/>
          <w:sz w:val="24"/>
        </w:rPr>
        <w:t>Final Recommendation</w:t>
      </w:r>
    </w:p>
    <w:p w14:paraId="04F895D9">
      <w:pPr>
        <w:spacing w:before="0" w:after="100" w:line="288" w:lineRule="auto"/>
        <w:jc w:val="both"/>
      </w:pPr>
      <w:r>
        <w:rPr>
          <w:rFonts w:ascii="Times New Roman" w:hAnsi="Times New Roman" w:eastAsia="Noto Serif CJK SC"/>
          <w:b w:val="0"/>
          <w:i w:val="0"/>
          <w:sz w:val="22"/>
        </w:rPr>
        <w:t>The mass-interface note is best placed as Chapter 1 of Volume IV of BNCFT. It should function as the key translation layer between the geometric construction of the earlier volumes and the effective low-energy physics developed afterward.</w:t>
      </w:r>
    </w:p>
    <w:sectPr>
      <w:headerReference r:id="rId5" w:type="default"/>
      <w:pgSz w:w="12240" w:h="15840"/>
      <w:pgMar w:top="1247"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91800">
    <w:pPr>
      <w:pStyle w:val="25"/>
      <w:jc w:val="right"/>
    </w:pPr>
    <w:r>
      <w:rPr>
        <w:rFonts w:ascii="Times New Roman" w:hAnsi="Times New Roman" w:eastAsia="Noto Serif CJK SC"/>
        <w:color w:val="556688"/>
        <w:sz w:val="18"/>
      </w:rPr>
      <w:t>BNCFT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FE71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Noto Serif CJK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itleCN"/>
    <w:uiPriority w:val="0"/>
    <w:pPr>
      <w:spacing w:after="200" w:line="276" w:lineRule="auto"/>
    </w:pPr>
    <w:rPr>
      <w:rFonts w:ascii="Times New Roman" w:hAnsi="Times New Roman" w:eastAsia="Noto Serif CJK SC" w:cstheme="minorBidi"/>
      <w:b/>
      <w:sz w:val="40"/>
      <w:szCs w:val="22"/>
      <w:lang w:val="en-US" w:eastAsia="en-US" w:bidi="ar-SA"/>
    </w:rPr>
  </w:style>
  <w:style w:type="paragraph" w:customStyle="1" w:styleId="165">
    <w:name w:val="HeadingBlue"/>
    <w:uiPriority w:val="0"/>
    <w:pPr>
      <w:spacing w:after="200" w:line="276" w:lineRule="auto"/>
    </w:pPr>
    <w:rPr>
      <w:rFonts w:ascii="Times New Roman" w:hAnsi="Times New Roman" w:eastAsia="Noto Serif CJK SC" w:cstheme="minorBidi"/>
      <w:b/>
      <w:sz w:val="2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670</Words>
  <Characters>782</Characters>
  <Lines>0</Lines>
  <Paragraphs>0</Paragraphs>
  <TotalTime>0</TotalTime>
  <ScaleCrop>false</ScaleCrop>
  <LinksUpToDate>false</LinksUpToDate>
  <CharactersWithSpaces>808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wuqiming</cp:lastModifiedBy>
  <dcterms:modified xsi:type="dcterms:W3CDTF">2026-04-18T05:36:36Z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DA4034D00CB14961930228CF7200C249_13</vt:lpwstr>
  </property>
</Properties>
</file>