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br/>
      </w:r>
      <w:r>
        <w:br/>
      </w:r>
      <w:r>
        <w:br/>
      </w:r>
      <w:r>
        <w:br/>
      </w:r>
      <w:r>
        <w:br/>
      </w:r>
    </w:p>
    <w:p>
      <w:pPr>
        <w:spacing w:before="0" w:after="200" w:line="264" w:lineRule="auto"/>
        <w:jc w:val="center"/>
      </w:pPr>
      <w:r>
        <w:rPr>
          <w:rFonts w:ascii="Noto Sans CJK SC" w:hAnsi="Noto Sans CJK SC" w:eastAsia="Noto Sans CJK SC" w:cs="Noto Sans CJK SC"/>
          <w:b/>
          <w:i w:val="0"/>
          <w:color w:val="1F4E79"/>
          <w:sz w:val="40"/>
        </w:rPr>
        <w:t>BNCFT 总纲锁版目录与状态总表</w:t>
      </w:r>
    </w:p>
    <w:p>
      <w:pPr>
        <w:spacing w:before="0" w:after="360" w:line="264" w:lineRule="auto"/>
        <w:jc w:val="center"/>
      </w:pPr>
      <w:r>
        <w:rPr>
          <w:rFonts w:ascii="Noto Sans CJK SC" w:hAnsi="Noto Sans CJK SC" w:eastAsia="Noto Sans CJK SC" w:cs="Noto Sans CJK SC"/>
          <w:b w:val="0"/>
          <w:i/>
          <w:color w:val="595959"/>
          <w:sz w:val="25"/>
        </w:rPr>
        <w:t>BNCFT Master Status Table for Locked Outline and Construction Routing</w:t>
      </w:r>
    </w:p>
    <w:tbl>
      <w:tblPr>
        <w:tblW w:type="auto" w:w="0"/>
        <w:jc w:val="center"/>
        <w:tblLayout w:type="fixed"/>
        <w:tblLook w:firstColumn="1" w:firstRow="1" w:lastColumn="0" w:lastRow="0" w:noHBand="0" w:noVBand="1" w:val="04A0"/>
        <w:tblBorders>
          <w:top w:val="single" w:sz="8" w:space="0" w:color="D9E2F3"/>
          <w:left w:val="single" w:sz="8" w:space="0" w:color="D9E2F3"/>
          <w:bottom w:val="single" w:sz="8" w:space="0" w:color="D9E2F3"/>
          <w:right w:val="single" w:sz="8" w:space="0" w:color="D9E2F3"/>
          <w:insideH w:val="single" w:sz="8" w:space="0" w:color="D9E2F3"/>
          <w:insideV w:val="single" w:sz="8" w:space="0" w:color="D9E2F3"/>
        </w:tblBorders>
      </w:tblPr>
      <w:tblGrid>
        <w:gridCol w:w="4649"/>
        <w:gridCol w:w="4649"/>
      </w:tblGrid>
      <w:tr>
        <w:trPr/>
        <w:tc>
          <w:tcPr>
            <w:tcW w:type="dxa" w:w="2268"/>
            <w:tcMar>
              <w:top w:w="90" w:type="dxa"/>
              <w:start w:w="120" w:type="dxa"/>
              <w:bottom w:w="90" w:type="dxa"/>
              <w:end w:w="120" w:type="dxa"/>
            </w:tcMar>
            <w:vAlign w:val="center"/>
            <w:shd w:fill="EAF2F8"/>
          </w:tcPr>
          <w:p>
            <w:pPr>
              <w:spacing w:before="0" w:after="0" w:line="264" w:lineRule="auto"/>
            </w:pPr>
            <w:r>
              <w:rPr>
                <w:rFonts w:ascii="Noto Sans CJK SC" w:hAnsi="Noto Sans CJK SC" w:eastAsia="Noto Sans CJK SC" w:cs="Noto Sans CJK SC"/>
                <w:b/>
                <w:i w:val="0"/>
                <w:color w:val="1F4E79"/>
                <w:sz w:val="21"/>
              </w:rPr>
              <w:t>文档定位 / Purpose</w:t>
            </w:r>
          </w:p>
        </w:tc>
        <w:tc>
          <w:tcPr>
            <w:tcW w:type="dxa" w:w="5386"/>
            <w:tcMar>
              <w:top w:w="90" w:type="dxa"/>
              <w:start w:w="120" w:type="dxa"/>
              <w:bottom w:w="90" w:type="dxa"/>
              <w:end w:w="120" w:type="dxa"/>
            </w:tcMar>
            <w:vAlign w:val="center"/>
          </w:tcPr>
          <w:p>
            <w:pPr>
              <w:spacing w:before="0" w:after="0" w:line="264" w:lineRule="auto"/>
            </w:pPr>
            <w:r>
              <w:rPr>
                <w:rFonts w:ascii="Noto Serif CJK SC" w:hAnsi="Noto Serif CJK SC" w:eastAsia="Noto Serif CJK SC" w:cs="Noto Serif CJK SC"/>
                <w:b w:val="0"/>
                <w:i w:val="0"/>
                <w:sz w:val="21"/>
              </w:rPr>
              <w:t>项目治理文档：统一全部文稿状态、去向与下一步动作 / Governance document for status, destination and next actions</w:t>
            </w:r>
          </w:p>
        </w:tc>
      </w:tr>
      <w:tr>
        <w:trPr/>
        <w:tc>
          <w:tcPr>
            <w:tcW w:type="dxa" w:w="2268"/>
            <w:tcMar>
              <w:top w:w="90" w:type="dxa"/>
              <w:start w:w="120" w:type="dxa"/>
              <w:bottom w:w="90" w:type="dxa"/>
              <w:end w:w="120" w:type="dxa"/>
            </w:tcMar>
            <w:vAlign w:val="center"/>
            <w:shd w:fill="EAF2F8"/>
          </w:tcPr>
          <w:p>
            <w:pPr>
              <w:spacing w:before="0" w:after="0" w:line="264" w:lineRule="auto"/>
            </w:pPr>
            <w:r>
              <w:rPr>
                <w:rFonts w:ascii="Noto Sans CJK SC" w:hAnsi="Noto Sans CJK SC" w:eastAsia="Noto Sans CJK SC" w:cs="Noto Sans CJK SC"/>
                <w:b/>
                <w:i w:val="0"/>
                <w:color w:val="1F4E79"/>
                <w:sz w:val="21"/>
              </w:rPr>
              <w:t>作者 / Author</w:t>
            </w:r>
          </w:p>
        </w:tc>
        <w:tc>
          <w:tcPr>
            <w:tcW w:type="dxa" w:w="5386"/>
            <w:tcMar>
              <w:top w:w="90" w:type="dxa"/>
              <w:start w:w="120" w:type="dxa"/>
              <w:bottom w:w="90" w:type="dxa"/>
              <w:end w:w="120" w:type="dxa"/>
            </w:tcMar>
            <w:vAlign w:val="center"/>
          </w:tcPr>
          <w:p>
            <w:pPr>
              <w:spacing w:before="0" w:after="0" w:line="264" w:lineRule="auto"/>
            </w:pPr>
            <w:r>
              <w:rPr>
                <w:rFonts w:ascii="Noto Serif CJK SC" w:hAnsi="Noto Serif CJK SC" w:eastAsia="Noto Serif CJK SC" w:cs="Noto Serif CJK SC"/>
                <w:b w:val="0"/>
                <w:i w:val="0"/>
                <w:sz w:val="21"/>
              </w:rPr>
              <w:t>吴启明    467274520@qq.com</w:t>
            </w:r>
          </w:p>
        </w:tc>
      </w:tr>
      <w:tr>
        <w:trPr/>
        <w:tc>
          <w:tcPr>
            <w:tcW w:type="dxa" w:w="2268"/>
            <w:tcMar>
              <w:top w:w="90" w:type="dxa"/>
              <w:start w:w="120" w:type="dxa"/>
              <w:bottom w:w="90" w:type="dxa"/>
              <w:end w:w="120" w:type="dxa"/>
            </w:tcMar>
            <w:vAlign w:val="center"/>
            <w:shd w:fill="EAF2F8"/>
          </w:tcPr>
          <w:p>
            <w:pPr>
              <w:spacing w:before="0" w:after="0" w:line="264" w:lineRule="auto"/>
            </w:pPr>
            <w:r>
              <w:rPr>
                <w:rFonts w:ascii="Noto Sans CJK SC" w:hAnsi="Noto Sans CJK SC" w:eastAsia="Noto Sans CJK SC" w:cs="Noto Sans CJK SC"/>
                <w:b/>
                <w:i w:val="0"/>
                <w:color w:val="1F4E79"/>
                <w:sz w:val="21"/>
              </w:rPr>
              <w:t>版本 / Version</w:t>
            </w:r>
          </w:p>
        </w:tc>
        <w:tc>
          <w:tcPr>
            <w:tcW w:type="dxa" w:w="5386"/>
            <w:tcMar>
              <w:top w:w="90" w:type="dxa"/>
              <w:start w:w="120" w:type="dxa"/>
              <w:bottom w:w="90" w:type="dxa"/>
              <w:end w:w="120" w:type="dxa"/>
            </w:tcMar>
            <w:vAlign w:val="center"/>
          </w:tcPr>
          <w:p>
            <w:pPr>
              <w:spacing w:before="0" w:after="0" w:line="264" w:lineRule="auto"/>
            </w:pPr>
            <w:r>
              <w:rPr>
                <w:rFonts w:ascii="Noto Serif CJK SC" w:hAnsi="Noto Serif CJK SC" w:eastAsia="Noto Serif CJK SC" w:cs="Noto Serif CJK SC"/>
                <w:b w:val="0"/>
                <w:i w:val="0"/>
                <w:sz w:val="21"/>
              </w:rPr>
              <w:t>V1</w:t>
            </w:r>
          </w:p>
        </w:tc>
      </w:tr>
      <w:tr>
        <w:trPr/>
        <w:tc>
          <w:tcPr>
            <w:tcW w:type="dxa" w:w="2268"/>
            <w:tcMar>
              <w:top w:w="90" w:type="dxa"/>
              <w:start w:w="120" w:type="dxa"/>
              <w:bottom w:w="90" w:type="dxa"/>
              <w:end w:w="120" w:type="dxa"/>
            </w:tcMar>
            <w:vAlign w:val="center"/>
            <w:shd w:fill="EAF2F8"/>
          </w:tcPr>
          <w:p>
            <w:pPr>
              <w:spacing w:before="0" w:after="0" w:line="264" w:lineRule="auto"/>
            </w:pPr>
            <w:r>
              <w:rPr>
                <w:rFonts w:ascii="Noto Sans CJK SC" w:hAnsi="Noto Sans CJK SC" w:eastAsia="Noto Sans CJK SC" w:cs="Noto Sans CJK SC"/>
                <w:b/>
                <w:i w:val="0"/>
                <w:color w:val="1F4E79"/>
                <w:sz w:val="21"/>
              </w:rPr>
              <w:t>日期 / Date</w:t>
            </w:r>
          </w:p>
        </w:tc>
        <w:tc>
          <w:tcPr>
            <w:tcW w:type="dxa" w:w="5386"/>
            <w:tcMar>
              <w:top w:w="90" w:type="dxa"/>
              <w:start w:w="120" w:type="dxa"/>
              <w:bottom w:w="90" w:type="dxa"/>
              <w:end w:w="120" w:type="dxa"/>
            </w:tcMar>
            <w:vAlign w:val="center"/>
          </w:tcPr>
          <w:p>
            <w:pPr>
              <w:spacing w:before="0" w:after="0" w:line="264" w:lineRule="auto"/>
            </w:pPr>
            <w:r>
              <w:rPr>
                <w:rFonts w:ascii="Noto Serif CJK SC" w:hAnsi="Noto Serif CJK SC" w:eastAsia="Noto Serif CJK SC" w:cs="Noto Serif CJK SC"/>
                <w:b w:val="0"/>
                <w:i w:val="0"/>
                <w:sz w:val="21"/>
              </w:rPr>
              <w:t>2026-04-20</w:t>
            </w:r>
          </w:p>
        </w:tc>
      </w:tr>
    </w:tbl>
    <w:p>
      <w:pPr>
        <w:spacing w:before="360" w:after="0" w:line="324" w:lineRule="auto"/>
        <w:jc w:val="center"/>
      </w:pPr>
      <w:r>
        <w:rPr>
          <w:rFonts w:ascii="Noto Sans CJK SC" w:hAnsi="Noto Sans CJK SC" w:eastAsia="Noto Sans CJK SC" w:cs="Noto Sans CJK SC"/>
          <w:b w:val="0"/>
          <w:i w:val="0"/>
          <w:color w:val="595959"/>
          <w:sz w:val="22"/>
        </w:rPr>
        <w:t>无背景非线性共享场理论（BNCFT）正式文档包</w:t>
      </w:r>
    </w:p>
    <w:p>
      <w:r>
        <w:br w:type="page"/>
      </w:r>
    </w:p>
    <w:p>
      <w:pPr>
        <w:pStyle w:val="BNCFTHeading1"/>
        <w:spacing w:before="160" w:after="120" w:line="276" w:lineRule="auto"/>
        <w:jc w:val="left"/>
      </w:pPr>
      <w:r>
        <w:rPr>
          <w:rFonts w:ascii="Noto Sans CJK SC" w:hAnsi="Noto Sans CJK SC" w:eastAsia="Noto Sans CJK SC" w:cs="Noto Sans CJK SC"/>
          <w:b/>
          <w:i w:val="0"/>
          <w:color w:val="1F4E79"/>
          <w:sz w:val="30"/>
        </w:rPr>
        <w:t>一、文档功能与使用方式</w:t>
      </w:r>
    </w:p>
    <w:p>
      <w:pPr>
        <w:pStyle w:val="BNCFTBody"/>
        <w:spacing w:before="0" w:after="120" w:line="348" w:lineRule="auto"/>
        <w:ind w:firstLine="420"/>
        <w:jc w:val="both"/>
      </w:pPr>
      <w:r>
        <w:rPr>
          <w:rFonts w:ascii="Noto Serif CJK SC" w:hAnsi="Noto Serif CJK SC" w:eastAsia="Noto Serif CJK SC" w:cs="Noto Serif CJK SC"/>
          <w:b w:val="0"/>
          <w:i w:val="0"/>
          <w:sz w:val="22"/>
        </w:rPr>
        <w:t>本总表的任务，是把当前已经形成的文稿、接口稿、预备章与治理层文件放到同一张桌面上，明确它们各自处于什么状态、下一步应做什么、并最终并入哪一编。</w:t>
      </w:r>
    </w:p>
    <w:p>
      <w:pPr>
        <w:pStyle w:val="BNCFTBody"/>
        <w:spacing w:before="0" w:after="120" w:line="348" w:lineRule="auto"/>
        <w:ind w:firstLine="420"/>
        <w:jc w:val="both"/>
      </w:pPr>
      <w:r>
        <w:rPr>
          <w:rFonts w:ascii="Noto Serif CJK SC" w:hAnsi="Noto Serif CJK SC" w:eastAsia="Noto Serif CJK SC" w:cs="Noto Serif CJK SC"/>
          <w:b w:val="0"/>
          <w:i w:val="0"/>
          <w:sz w:val="22"/>
        </w:rPr>
        <w:t>它不代替具体理论内容，但它决定理论施工是否会失控。只要总表稳，后续每次新增稿件都能被快速定位：是主干、是接口、是附章，还是仅仅是工作备忘。</w:t>
      </w: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9298"/>
      </w:tblGrid>
      <w:tr>
        <w:tc>
          <w:tcPr>
            <w:tcW w:type="dxa" w:w="9298"/>
            <w:shd w:fill="F6F8FB"/>
            <w:tcMar>
              <w:top w:w="100" w:type="dxa"/>
              <w:start w:w="120" w:type="dxa"/>
              <w:bottom w:w="100" w:type="dxa"/>
              <w:end w:w="120" w:type="dxa"/>
            </w:tcMar>
          </w:tcPr>
          <w:p>
            <w:pPr>
              <w:spacing w:before="0" w:after="0" w:line="307" w:lineRule="auto"/>
              <w:jc w:val="left"/>
            </w:pPr>
            <w:r>
              <w:rPr>
                <w:rFonts w:ascii="Noto Sans CJK SC" w:hAnsi="Noto Sans CJK SC" w:eastAsia="Noto Sans CJK SC" w:cs="Noto Sans CJK SC"/>
                <w:b/>
                <w:i w:val="0"/>
                <w:color w:val="1F4E79"/>
                <w:sz w:val="21"/>
              </w:rPr>
              <w:t xml:space="preserve">使用原则 / Use rule  </w:t>
            </w:r>
            <w:r>
              <w:rPr>
                <w:rFonts w:ascii="Noto Serif CJK SC" w:hAnsi="Noto Serif CJK SC" w:eastAsia="Noto Serif CJK SC" w:cs="Noto Serif CJK SC"/>
                <w:b w:val="0"/>
                <w:i w:val="0"/>
                <w:sz w:val="21"/>
              </w:rPr>
              <w:t>新增文稿进入体系前，先在本表中给出其定位、版本、并入去向与下一步动作；未入表的稿件，不得越级宣传为正式主干稿。</w:t>
            </w:r>
          </w:p>
        </w:tc>
      </w:tr>
    </w:tbl>
    <w:p>
      <w:pPr>
        <w:spacing w:before="0" w:after="80" w:line="240" w:lineRule="auto"/>
      </w:pPr>
    </w:p>
    <w:p>
      <w:pPr>
        <w:pStyle w:val="BNCFTHeading1"/>
        <w:spacing w:before="160" w:after="120" w:line="276" w:lineRule="auto"/>
        <w:jc w:val="left"/>
      </w:pPr>
      <w:r>
        <w:rPr>
          <w:rFonts w:ascii="Noto Sans CJK SC" w:hAnsi="Noto Sans CJK SC" w:eastAsia="Noto Sans CJK SC" w:cs="Noto Sans CJK SC"/>
          <w:b/>
          <w:i w:val="0"/>
          <w:color w:val="1F4E79"/>
          <w:sz w:val="30"/>
        </w:rPr>
        <w:t>二、当前总状态一览</w:t>
      </w:r>
    </w:p>
    <w:p>
      <w:pPr>
        <w:pStyle w:val="BNCFTBody"/>
        <w:spacing w:before="0" w:after="120" w:line="348" w:lineRule="auto"/>
        <w:ind w:firstLine="0"/>
        <w:jc w:val="both"/>
      </w:pPr>
      <w:r>
        <w:rPr>
          <w:rFonts w:ascii="Noto Serif CJK SC" w:hAnsi="Noto Serif CJK SC" w:eastAsia="Noto Serif CJK SC" w:cs="Noto Serif CJK SC"/>
          <w:b w:val="0"/>
          <w:i w:val="0"/>
          <w:sz w:val="22"/>
        </w:rPr>
        <w:t>下表按“角色—现状—动作—优先级”给出当前总状态。状态定义统一为：已锁定、需修订、待重推、待对齐、待并入、需新建、在建。</w:t>
      </w:r>
    </w:p>
    <w:p>
      <w:pPr>
        <w:sectPr>
          <w:headerReference w:type="default" r:id="rId9"/>
          <w:footerReference w:type="default" r:id="rId10"/>
          <w:pgSz w:w="11906" w:h="16838"/>
          <w:pgMar w:top="1247" w:right="1247" w:bottom="1134" w:left="1361" w:header="567" w:footer="567" w:gutter="0"/>
          <w:cols w:space="720"/>
          <w:docGrid w:linePitch="360"/>
        </w:sectPr>
      </w:pP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85"/>
        <w:gridCol w:w="2485"/>
        <w:gridCol w:w="2485"/>
        <w:gridCol w:w="2485"/>
        <w:gridCol w:w="2485"/>
        <w:gridCol w:w="2485"/>
      </w:tblGrid>
      <w:tr>
        <w:tc>
          <w:tcPr>
            <w:tcW w:type="dxa" w:w="1814"/>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文稿/模块</w:t>
            </w:r>
          </w:p>
        </w:tc>
        <w:tc>
          <w:tcPr>
            <w:tcW w:type="dxa" w:w="2268"/>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作用定位</w:t>
            </w:r>
          </w:p>
        </w:tc>
        <w:tc>
          <w:tcPr>
            <w:tcW w:type="dxa" w:w="2835"/>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当前版本/来源</w:t>
            </w:r>
          </w:p>
        </w:tc>
        <w:tc>
          <w:tcPr>
            <w:tcW w:type="dxa" w:w="1191"/>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状态</w:t>
            </w:r>
          </w:p>
        </w:tc>
        <w:tc>
          <w:tcPr>
            <w:tcW w:type="dxa" w:w="4649"/>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下一步动作</w:t>
            </w:r>
          </w:p>
        </w:tc>
        <w:tc>
          <w:tcPr>
            <w:tcW w:type="dxa" w:w="964"/>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优先级</w:t>
            </w:r>
          </w:p>
        </w:tc>
      </w:tr>
      <w:tr>
        <w:tc>
          <w:tcPr>
            <w:tcW w:type="dxa" w:w="181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总纲正式版</w:t>
            </w:r>
          </w:p>
        </w:tc>
        <w:tc>
          <w:tcPr>
            <w:tcW w:type="dxa" w:w="226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总纲挂帅文件 / 统一口径</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V1 合并版已形成；待锁版升 V2</w:t>
            </w:r>
          </w:p>
        </w:tc>
        <w:tc>
          <w:tcPr>
            <w:tcW w:type="dxa" w:w="11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需修订</w:t>
            </w:r>
          </w:p>
        </w:tc>
        <w:tc>
          <w:tcPr>
            <w:tcW w:type="dxa" w:w="464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并入实验验证环节、4+6+5扩展位置、版本治理与编次状态</w:t>
            </w:r>
          </w:p>
        </w:tc>
        <w:tc>
          <w:tcPr>
            <w:tcW w:type="dxa" w:w="96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一级</w:t>
            </w:r>
          </w:p>
        </w:tc>
      </w:tr>
      <w:tr>
        <w:tc>
          <w:tcPr>
            <w:tcW w:type="dxa" w:w="181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研究引言</w:t>
            </w:r>
          </w:p>
        </w:tc>
        <w:tc>
          <w:tcPr>
            <w:tcW w:type="dxa" w:w="226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总引言 / 研究缘起</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已并入总纲前部</w:t>
            </w:r>
          </w:p>
        </w:tc>
        <w:tc>
          <w:tcPr>
            <w:tcW w:type="dxa" w:w="11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已锁定</w:t>
            </w:r>
          </w:p>
        </w:tc>
        <w:tc>
          <w:tcPr>
            <w:tcW w:type="dxa" w:w="464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作为总纲前置问题提出稿保留，不再单独抢占证明口径</w:t>
            </w:r>
          </w:p>
        </w:tc>
        <w:tc>
          <w:tcPr>
            <w:tcW w:type="dxa" w:w="96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一级</w:t>
            </w:r>
          </w:p>
        </w:tc>
      </w:tr>
      <w:tr>
        <w:tc>
          <w:tcPr>
            <w:tcW w:type="dxa" w:w="181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第一编</w:t>
            </w:r>
          </w:p>
        </w:tc>
        <w:tc>
          <w:tcPr>
            <w:tcW w:type="dxa" w:w="226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母理论、公设与母方程</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已有前期施工与审核基础</w:t>
            </w:r>
          </w:p>
        </w:tc>
        <w:tc>
          <w:tcPr>
            <w:tcW w:type="dxa" w:w="11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待重推</w:t>
            </w:r>
          </w:p>
        </w:tc>
        <w:tc>
          <w:tcPr>
            <w:tcW w:type="dxa" w:w="464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按照“无背景红线—符号统一—可裁决命题”重排</w:t>
            </w:r>
          </w:p>
        </w:tc>
        <w:tc>
          <w:tcPr>
            <w:tcW w:type="dxa" w:w="96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一级</w:t>
            </w:r>
          </w:p>
        </w:tc>
      </w:tr>
      <w:tr>
        <w:tc>
          <w:tcPr>
            <w:tcW w:type="dxa" w:w="181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第二编</w:t>
            </w:r>
          </w:p>
        </w:tc>
        <w:tc>
          <w:tcPr>
            <w:tcW w:type="dxa" w:w="226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从更新序到因果序</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已有接口修订基础</w:t>
            </w:r>
          </w:p>
        </w:tc>
        <w:tc>
          <w:tcPr>
            <w:tcW w:type="dxa" w:w="11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待对齐</w:t>
            </w:r>
          </w:p>
        </w:tc>
        <w:tc>
          <w:tcPr>
            <w:tcW w:type="dxa" w:w="464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与第一编重排后重新核对术语、时间与因果定义</w:t>
            </w:r>
          </w:p>
        </w:tc>
        <w:tc>
          <w:tcPr>
            <w:tcW w:type="dxa" w:w="96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一级</w:t>
            </w:r>
          </w:p>
        </w:tc>
      </w:tr>
      <w:tr>
        <w:tc>
          <w:tcPr>
            <w:tcW w:type="dxa" w:w="181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第三编</w:t>
            </w:r>
          </w:p>
        </w:tc>
        <w:tc>
          <w:tcPr>
            <w:tcW w:type="dxa" w:w="226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离散几何接口</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已有接口稿与审核意见</w:t>
            </w:r>
          </w:p>
        </w:tc>
        <w:tc>
          <w:tcPr>
            <w:tcW w:type="dxa" w:w="11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待回填</w:t>
            </w:r>
          </w:p>
        </w:tc>
        <w:tc>
          <w:tcPr>
            <w:tcW w:type="dxa" w:w="464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与第二编统一后回填几何量、曲率代理与连续极限边界</w:t>
            </w:r>
          </w:p>
        </w:tc>
        <w:tc>
          <w:tcPr>
            <w:tcW w:type="dxa" w:w="96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二级</w:t>
            </w:r>
          </w:p>
        </w:tc>
      </w:tr>
      <w:tr>
        <w:tc>
          <w:tcPr>
            <w:tcW w:type="dxa" w:w="181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第四编专题预备章</w:t>
            </w:r>
          </w:p>
        </w:tc>
        <w:tc>
          <w:tcPr>
            <w:tcW w:type="dxa" w:w="226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高能接口与扩展研究</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本次新建</w:t>
            </w:r>
          </w:p>
        </w:tc>
        <w:tc>
          <w:tcPr>
            <w:tcW w:type="dxa" w:w="11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在建</w:t>
            </w:r>
          </w:p>
        </w:tc>
        <w:tc>
          <w:tcPr>
            <w:tcW w:type="dxa" w:w="464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吸收弦样结构接口稿与 4+6+Xi_5 五锚扩展，形成专题预备章</w:t>
            </w:r>
          </w:p>
        </w:tc>
        <w:tc>
          <w:tcPr>
            <w:tcW w:type="dxa" w:w="96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一级</w:t>
            </w:r>
          </w:p>
        </w:tc>
      </w:tr>
      <w:tr>
        <w:tc>
          <w:tcPr>
            <w:tcW w:type="dxa" w:w="181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弦样结构接口稿</w:t>
            </w:r>
          </w:p>
        </w:tc>
        <w:tc>
          <w:tcPr>
            <w:tcW w:type="dxa" w:w="226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高能机制性接口</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V2 已完成</w:t>
            </w:r>
          </w:p>
        </w:tc>
        <w:tc>
          <w:tcPr>
            <w:tcW w:type="dxa" w:w="11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待并入</w:t>
            </w:r>
          </w:p>
        </w:tc>
        <w:tc>
          <w:tcPr>
            <w:tcW w:type="dxa" w:w="464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并入第四编专题预备章，保留“代数桥—缺陷维度选择—势能约束”</w:t>
            </w:r>
          </w:p>
        </w:tc>
        <w:tc>
          <w:tcPr>
            <w:tcW w:type="dxa" w:w="96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一级</w:t>
            </w:r>
          </w:p>
        </w:tc>
      </w:tr>
      <w:tr>
        <w:tc>
          <w:tcPr>
            <w:tcW w:type="dxa" w:w="181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4+6+5 扩展稿</w:t>
            </w:r>
          </w:p>
        </w:tc>
        <w:tc>
          <w:tcPr>
            <w:tcW w:type="dxa" w:w="226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五重锚定扩展方案</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V1 已完成</w:t>
            </w:r>
          </w:p>
        </w:tc>
        <w:tc>
          <w:tcPr>
            <w:tcW w:type="dxa" w:w="11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待并入</w:t>
            </w:r>
          </w:p>
        </w:tc>
        <w:tc>
          <w:tcPr>
            <w:tcW w:type="dxa" w:w="464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并入第四编专题预备章与总纲扩展方向</w:t>
            </w:r>
          </w:p>
        </w:tc>
        <w:tc>
          <w:tcPr>
            <w:tcW w:type="dxa" w:w="96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一级</w:t>
            </w:r>
          </w:p>
        </w:tc>
      </w:tr>
      <w:tr>
        <w:tc>
          <w:tcPr>
            <w:tcW w:type="dxa" w:w="181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实验验证环节</w:t>
            </w:r>
          </w:p>
        </w:tc>
        <w:tc>
          <w:tcPr>
            <w:tcW w:type="dxa" w:w="226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外部核验主轴</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待正式写入总纲</w:t>
            </w:r>
          </w:p>
        </w:tc>
        <w:tc>
          <w:tcPr>
            <w:tcW w:type="dxa" w:w="11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需补齐</w:t>
            </w:r>
          </w:p>
        </w:tc>
        <w:tc>
          <w:tcPr>
            <w:tcW w:type="dxa" w:w="464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以 2025 最终 muon g−2 / 2026 Breakthrough Prize 为主轴，以 2025 LHC 精密测量为辅助，谨慎处理其它案例</w:t>
            </w:r>
          </w:p>
        </w:tc>
        <w:tc>
          <w:tcPr>
            <w:tcW w:type="dxa" w:w="96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一级</w:t>
            </w:r>
          </w:p>
        </w:tc>
      </w:tr>
      <w:tr>
        <w:tc>
          <w:tcPr>
            <w:tcW w:type="dxa" w:w="181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术语与符号统一表</w:t>
            </w:r>
          </w:p>
        </w:tc>
        <w:tc>
          <w:tcPr>
            <w:tcW w:type="dxa" w:w="226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全书一致性工具</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尚未正式成稿</w:t>
            </w:r>
          </w:p>
        </w:tc>
        <w:tc>
          <w:tcPr>
            <w:tcW w:type="dxa" w:w="11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需新建</w:t>
            </w:r>
          </w:p>
        </w:tc>
        <w:tc>
          <w:tcPr>
            <w:tcW w:type="dxa" w:w="464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统一 BNCFT、4+6+3、4+6+Xi_5、接口层/本体层/现象层等术语</w:t>
            </w:r>
          </w:p>
        </w:tc>
        <w:tc>
          <w:tcPr>
            <w:tcW w:type="dxa" w:w="96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二级</w:t>
            </w:r>
          </w:p>
        </w:tc>
      </w:tr>
      <w:tr>
        <w:tc>
          <w:tcPr>
            <w:tcW w:type="dxa" w:w="181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未证命题清单</w:t>
            </w:r>
          </w:p>
        </w:tc>
        <w:tc>
          <w:tcPr>
            <w:tcW w:type="dxa" w:w="226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施工风险与回退表</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本次新建</w:t>
            </w:r>
          </w:p>
        </w:tc>
        <w:tc>
          <w:tcPr>
            <w:tcW w:type="dxa" w:w="11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在建</w:t>
            </w:r>
          </w:p>
        </w:tc>
        <w:tc>
          <w:tcPr>
            <w:tcW w:type="dxa" w:w="464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列明未完成命题、最小任务、过线标准与对应归属编次</w:t>
            </w:r>
          </w:p>
        </w:tc>
        <w:tc>
          <w:tcPr>
            <w:tcW w:type="dxa" w:w="96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一级</w:t>
            </w:r>
          </w:p>
        </w:tc>
      </w:tr>
      <w:tr>
        <w:tc>
          <w:tcPr>
            <w:tcW w:type="dxa" w:w="1814"/>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版本治理表</w:t>
            </w:r>
          </w:p>
        </w:tc>
        <w:tc>
          <w:tcPr>
            <w:tcW w:type="dxa" w:w="2268"/>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防止文稿串线</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尚未单列</w:t>
            </w:r>
          </w:p>
        </w:tc>
        <w:tc>
          <w:tcPr>
            <w:tcW w:type="dxa" w:w="1191"/>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需新建</w:t>
            </w:r>
          </w:p>
        </w:tc>
        <w:tc>
          <w:tcPr>
            <w:tcW w:type="dxa" w:w="4649"/>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统一命名、版本号、日期与并入去向</w:t>
            </w:r>
          </w:p>
        </w:tc>
        <w:tc>
          <w:tcPr>
            <w:tcW w:type="dxa" w:w="96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二级</w:t>
            </w:r>
          </w:p>
        </w:tc>
      </w:tr>
    </w:tbl>
    <w:p>
      <w:pPr>
        <w:sectPr>
          <w:pgSz w:w="16838" w:h="11906" w:orient="landscape"/>
          <w:pgMar w:top="1020" w:right="964" w:bottom="1020" w:left="964" w:header="567" w:footer="567" w:gutter="0"/>
          <w:cols w:space="720"/>
          <w:docGrid w:linePitch="360"/>
        </w:sectPr>
      </w:pPr>
    </w:p>
    <w:p>
      <w:pPr>
        <w:pStyle w:val="BNCFTHeading1"/>
        <w:spacing w:before="160" w:after="120" w:line="276" w:lineRule="auto"/>
        <w:jc w:val="left"/>
      </w:pPr>
      <w:r>
        <w:rPr>
          <w:rFonts w:ascii="Noto Sans CJK SC" w:hAnsi="Noto Sans CJK SC" w:eastAsia="Noto Sans CJK SC" w:cs="Noto Sans CJK SC"/>
          <w:b/>
          <w:i w:val="0"/>
          <w:color w:val="1F4E79"/>
          <w:sz w:val="30"/>
        </w:rPr>
        <w:t>三、立即动作</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立即锁定：总纲正式版 V2、总引言、状态总表、未证命题清单。</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立即并入：弦样结构接口稿、4+6+5 五重锚定扩展稿 → 第四编专题预备章。</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下一轮重推：第一编、第二编；待其稳定后再回填第三编。</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同步建立：术语与符号统一表、版本治理表。</w:t>
      </w:r>
    </w:p>
    <w:p>
      <w:pPr>
        <w:pStyle w:val="BNCFTHeading1"/>
        <w:spacing w:before="160" w:after="120" w:line="276" w:lineRule="auto"/>
        <w:jc w:val="left"/>
      </w:pPr>
      <w:r>
        <w:rPr>
          <w:rFonts w:ascii="Noto Sans CJK SC" w:hAnsi="Noto Sans CJK SC" w:eastAsia="Noto Sans CJK SC" w:cs="Noto Sans CJK SC"/>
          <w:b/>
          <w:i w:val="0"/>
          <w:color w:val="1F4E79"/>
          <w:sz w:val="30"/>
        </w:rPr>
        <w:t>四、English Companion</w:t>
      </w:r>
    </w:p>
    <w:p>
      <w:pPr>
        <w:pStyle w:val="BNCFTBody"/>
        <w:spacing w:before="0" w:after="120" w:line="348" w:lineRule="auto"/>
        <w:ind w:firstLine="420"/>
        <w:jc w:val="both"/>
      </w:pPr>
      <w:r>
        <w:rPr>
          <w:rFonts w:ascii="Noto Serif CJK SC" w:hAnsi="Noto Serif CJK SC" w:eastAsia="Noto Serif CJK SC" w:cs="Noto Serif CJK SC"/>
          <w:b w:val="0"/>
          <w:i w:val="0"/>
          <w:sz w:val="22"/>
        </w:rPr>
        <w:t>The role of this master status table is to place the currently formed manuscripts, interface drafts, preparatory chapters and governance files onto one common surface, so that their status, next action and destination volume become explicit.</w:t>
      </w:r>
    </w:p>
    <w:p>
      <w:pPr>
        <w:pStyle w:val="BNCFTBody"/>
        <w:spacing w:before="0" w:after="120" w:line="348" w:lineRule="auto"/>
        <w:ind w:firstLine="420"/>
        <w:jc w:val="both"/>
      </w:pPr>
      <w:r>
        <w:rPr>
          <w:rFonts w:ascii="Noto Serif CJK SC" w:hAnsi="Noto Serif CJK SC" w:eastAsia="Noto Serif CJK SC" w:cs="Noto Serif CJK SC"/>
          <w:b w:val="0"/>
          <w:i w:val="0"/>
          <w:sz w:val="22"/>
        </w:rPr>
        <w:t>It does not replace theoretical content, but it determines whether construction remains governable. If the table is stable, every newly produced manuscript can be located quickly: backbone, interface, appendix, or merely a working memo.</w:t>
      </w:r>
    </w:p>
    <w:p>
      <w:pPr>
        <w:pStyle w:val="BNCFTBody"/>
        <w:spacing w:before="80" w:after="80" w:line="348" w:lineRule="auto"/>
        <w:ind w:firstLine="0"/>
        <w:jc w:val="both"/>
      </w:pPr>
      <w:r>
        <w:rPr>
          <w:rFonts w:ascii="Noto Serif CJK SC" w:hAnsi="Noto Serif CJK SC" w:eastAsia="Noto Serif CJK SC" w:cs="Noto Serif CJK SC"/>
          <w:b w:val="0"/>
          <w:i/>
          <w:color w:val="595959"/>
          <w:sz w:val="22"/>
        </w:rPr>
        <w:t>Current master status table:</w:t>
      </w:r>
    </w:p>
    <w:p>
      <w:pPr>
        <w:sectPr>
          <w:pgSz w:w="11906" w:h="16838"/>
          <w:pgMar w:top="1247" w:right="1247" w:bottom="1134" w:left="1361" w:header="567" w:footer="567" w:gutter="0"/>
          <w:cols w:space="720"/>
          <w:docGrid w:linePitch="360"/>
        </w:sectPr>
      </w:pPr>
    </w:p>
    <w:tbl>
      <w:tblPr>
        <w:tblW w:type="auto" w:w="0"/>
        <w:jc w:val="center"/>
        <w:tblLayout w:type="fixed"/>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2485"/>
        <w:gridCol w:w="2485"/>
        <w:gridCol w:w="2485"/>
        <w:gridCol w:w="2485"/>
        <w:gridCol w:w="2485"/>
        <w:gridCol w:w="2485"/>
      </w:tblGrid>
      <w:tr>
        <w:tc>
          <w:tcPr>
            <w:tcW w:type="dxa" w:w="2098"/>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Document / Module</w:t>
            </w:r>
          </w:p>
        </w:tc>
        <w:tc>
          <w:tcPr>
            <w:tcW w:type="dxa" w:w="2324"/>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Role</w:t>
            </w:r>
          </w:p>
        </w:tc>
        <w:tc>
          <w:tcPr>
            <w:tcW w:type="dxa" w:w="2835"/>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Current version / source</w:t>
            </w:r>
          </w:p>
        </w:tc>
        <w:tc>
          <w:tcPr>
            <w:tcW w:type="dxa" w:w="1247"/>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Status</w:t>
            </w:r>
          </w:p>
        </w:tc>
        <w:tc>
          <w:tcPr>
            <w:tcW w:type="dxa" w:w="4535"/>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Next action</w:t>
            </w:r>
          </w:p>
        </w:tc>
        <w:tc>
          <w:tcPr>
            <w:tcW w:type="dxa" w:w="1020"/>
            <w:shd w:fill="EAF2F8"/>
            <w:vAlign w:val="center"/>
            <w:tcMar>
              <w:top w:w="90" w:type="dxa"/>
              <w:start w:w="100" w:type="dxa"/>
              <w:bottom w:w="90" w:type="dxa"/>
              <w:end w:w="100" w:type="dxa"/>
            </w:tcMar>
          </w:tcPr>
          <w:p>
            <w:pPr>
              <w:spacing w:before="0" w:after="0" w:line="264" w:lineRule="auto"/>
              <w:jc w:val="center"/>
            </w:pPr>
            <w:r>
              <w:rPr>
                <w:rFonts w:ascii="Noto Sans CJK SC" w:hAnsi="Noto Sans CJK SC" w:eastAsia="Noto Sans CJK SC" w:cs="Noto Sans CJK SC"/>
                <w:b/>
                <w:i w:val="0"/>
                <w:color w:val="1F4E79"/>
                <w:sz w:val="19"/>
              </w:rPr>
              <w:t>Priority</w:t>
            </w:r>
          </w:p>
        </w:tc>
      </w:tr>
      <w:tr>
        <w:tc>
          <w:tcPr>
            <w:tcW w:type="dxa" w:w="2098"/>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General Outline</w:t>
            </w:r>
          </w:p>
        </w:tc>
        <w:tc>
          <w:tcPr>
            <w:tcW w:type="dxa" w:w="232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Flagship outline / unified stance</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V1 merged edition exists; to be locked as V2</w:t>
            </w:r>
          </w:p>
        </w:tc>
        <w:tc>
          <w:tcPr>
            <w:tcW w:type="dxa" w:w="124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Needs revision</w:t>
            </w:r>
          </w:p>
        </w:tc>
        <w:tc>
          <w:tcPr>
            <w:tcW w:type="dxa" w:w="45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Insert experimental-validation section, 4+6+5 placement, governance and volume status</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Tier 1</w:t>
            </w:r>
          </w:p>
        </w:tc>
      </w:tr>
      <w:tr>
        <w:tc>
          <w:tcPr>
            <w:tcW w:type="dxa" w:w="2098"/>
            <w:tcMar>
              <w:top w:w="85" w:type="dxa"/>
              <w:start w:w="95" w:type="dxa"/>
              <w:bottom w:w="85" w:type="dxa"/>
              <w:end w:w="95" w:type="dxa"/>
            </w:tcMar>
            <w:shd w:fill="F6F8FB"/>
            <w:vAlign w:val="center"/>
          </w:tcPr>
          <w:p>
            <w:pPr>
              <w:spacing w:before="0" w:after="0" w:line="283" w:lineRule="auto"/>
              <w:jc w:val="left"/>
            </w:pPr>
            <w:r>
              <w:rPr>
                <w:rFonts w:ascii="Noto Serif CJK SC" w:hAnsi="Noto Serif CJK SC" w:eastAsia="Noto Serif CJK SC" w:cs="Noto Serif CJK SC"/>
                <w:b w:val="0"/>
                <w:i w:val="0"/>
                <w:sz w:val="18"/>
              </w:rPr>
              <w:t>Research Introduction</w:t>
            </w:r>
          </w:p>
        </w:tc>
        <w:tc>
          <w:tcPr>
            <w:tcW w:type="dxa" w:w="232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General introduction / motivation</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Already merged into the front of the outline</w:t>
            </w:r>
          </w:p>
        </w:tc>
        <w:tc>
          <w:tcPr>
            <w:tcW w:type="dxa" w:w="124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Locked</w:t>
            </w:r>
          </w:p>
        </w:tc>
        <w:tc>
          <w:tcPr>
            <w:tcW w:type="dxa" w:w="45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Retain as a problem-posing front section rather than a proof manuscript</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Tier 1</w:t>
            </w:r>
          </w:p>
        </w:tc>
      </w:tr>
      <w:tr>
        <w:tc>
          <w:tcPr>
            <w:tcW w:type="dxa" w:w="2098"/>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Volume I</w:t>
            </w:r>
          </w:p>
        </w:tc>
        <w:tc>
          <w:tcPr>
            <w:tcW w:type="dxa" w:w="232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Mother theory, axioms and master equation</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Prior construction and audit basis exists</w:t>
            </w:r>
          </w:p>
        </w:tc>
        <w:tc>
          <w:tcPr>
            <w:tcW w:type="dxa" w:w="124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To be re-derived</w:t>
            </w:r>
          </w:p>
        </w:tc>
        <w:tc>
          <w:tcPr>
            <w:tcW w:type="dxa" w:w="45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Reorder under background-free red lines, symbol unification and adjudicable propositions</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Tier 1</w:t>
            </w:r>
          </w:p>
        </w:tc>
      </w:tr>
      <w:tr>
        <w:tc>
          <w:tcPr>
            <w:tcW w:type="dxa" w:w="2098"/>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Volume II</w:t>
            </w:r>
          </w:p>
        </w:tc>
        <w:tc>
          <w:tcPr>
            <w:tcW w:type="dxa" w:w="232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From update order to causal order</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Interface-revision basis exists</w:t>
            </w:r>
          </w:p>
        </w:tc>
        <w:tc>
          <w:tcPr>
            <w:tcW w:type="dxa" w:w="124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Needs alignment</w:t>
            </w:r>
          </w:p>
        </w:tc>
        <w:tc>
          <w:tcPr>
            <w:tcW w:type="dxa" w:w="45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Recheck terminology, time and causality definitions after Volume I reorder</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Tier 1</w:t>
            </w:r>
          </w:p>
        </w:tc>
      </w:tr>
      <w:tr>
        <w:tc>
          <w:tcPr>
            <w:tcW w:type="dxa" w:w="2098"/>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Volume III</w:t>
            </w:r>
          </w:p>
        </w:tc>
        <w:tc>
          <w:tcPr>
            <w:tcW w:type="dxa" w:w="232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Discrete-geometry interface</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Interface draft and audit feedback exist</w:t>
            </w:r>
          </w:p>
        </w:tc>
        <w:tc>
          <w:tcPr>
            <w:tcW w:type="dxa" w:w="124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To be backfilled</w:t>
            </w:r>
          </w:p>
        </w:tc>
        <w:tc>
          <w:tcPr>
            <w:tcW w:type="dxa" w:w="45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Backfill geometric quantities, curvature proxies and continuum-limit boundaries</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Tier 2</w:t>
            </w:r>
          </w:p>
        </w:tc>
      </w:tr>
      <w:tr>
        <w:tc>
          <w:tcPr>
            <w:tcW w:type="dxa" w:w="2098"/>
            <w:tcMar>
              <w:top w:w="85" w:type="dxa"/>
              <w:start w:w="95" w:type="dxa"/>
              <w:bottom w:w="85" w:type="dxa"/>
              <w:end w:w="95" w:type="dxa"/>
            </w:tcMar>
            <w:shd w:fill="F6F8FB"/>
            <w:vAlign w:val="center"/>
          </w:tcPr>
          <w:p>
            <w:pPr>
              <w:spacing w:before="0" w:after="0" w:line="283" w:lineRule="auto"/>
              <w:jc w:val="left"/>
            </w:pPr>
            <w:r>
              <w:rPr>
                <w:rFonts w:ascii="Noto Serif CJK SC" w:hAnsi="Noto Serif CJK SC" w:eastAsia="Noto Serif CJK SC" w:cs="Noto Serif CJK SC"/>
                <w:b w:val="0"/>
                <w:i w:val="0"/>
                <w:sz w:val="18"/>
              </w:rPr>
              <w:t>Preparatory Chapter of Volume IV</w:t>
            </w:r>
          </w:p>
        </w:tc>
        <w:tc>
          <w:tcPr>
            <w:tcW w:type="dxa" w:w="232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High-energy interface and extension line</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Created in this package</w:t>
            </w:r>
          </w:p>
        </w:tc>
        <w:tc>
          <w:tcPr>
            <w:tcW w:type="dxa" w:w="124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In progress</w:t>
            </w:r>
          </w:p>
        </w:tc>
        <w:tc>
          <w:tcPr>
            <w:tcW w:type="dxa" w:w="45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Absorb the string-origin interface and the 4+6+Xi_5 extension into one preparatory chapter</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Tier 1</w:t>
            </w:r>
          </w:p>
        </w:tc>
      </w:tr>
      <w:tr>
        <w:tc>
          <w:tcPr>
            <w:tcW w:type="dxa" w:w="2098"/>
            <w:tcMar>
              <w:top w:w="85" w:type="dxa"/>
              <w:start w:w="95" w:type="dxa"/>
              <w:bottom w:w="85" w:type="dxa"/>
              <w:end w:w="95" w:type="dxa"/>
            </w:tcMar>
            <w:shd w:fill="F6F8FB"/>
            <w:vAlign w:val="center"/>
          </w:tcPr>
          <w:p>
            <w:pPr>
              <w:spacing w:before="0" w:after="0" w:line="283" w:lineRule="auto"/>
              <w:jc w:val="left"/>
            </w:pPr>
            <w:r>
              <w:rPr>
                <w:rFonts w:ascii="Noto Serif CJK SC" w:hAnsi="Noto Serif CJK SC" w:eastAsia="Noto Serif CJK SC" w:cs="Noto Serif CJK SC"/>
                <w:b w:val="0"/>
                <w:i w:val="0"/>
                <w:sz w:val="18"/>
              </w:rPr>
              <w:t>String-Origin Interface</w:t>
            </w:r>
          </w:p>
        </w:tc>
        <w:tc>
          <w:tcPr>
            <w:tcW w:type="dxa" w:w="232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High-energy mechanism interface</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V2 completed</w:t>
            </w:r>
          </w:p>
        </w:tc>
        <w:tc>
          <w:tcPr>
            <w:tcW w:type="dxa" w:w="124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To be merged</w:t>
            </w:r>
          </w:p>
        </w:tc>
        <w:tc>
          <w:tcPr>
            <w:tcW w:type="dxa" w:w="45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Merge while keeping the algebra bridge, defect-dimension selection and potential constraints</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Tier 1</w:t>
            </w:r>
          </w:p>
        </w:tc>
      </w:tr>
      <w:tr>
        <w:tc>
          <w:tcPr>
            <w:tcW w:type="dxa" w:w="2098"/>
            <w:tcMar>
              <w:top w:w="85" w:type="dxa"/>
              <w:start w:w="95" w:type="dxa"/>
              <w:bottom w:w="85" w:type="dxa"/>
              <w:end w:w="95" w:type="dxa"/>
            </w:tcMar>
            <w:shd w:fill="F6F8FB"/>
            <w:vAlign w:val="center"/>
          </w:tcPr>
          <w:p>
            <w:pPr>
              <w:spacing w:before="0" w:after="0" w:line="283" w:lineRule="auto"/>
              <w:jc w:val="center"/>
            </w:pPr>
            <w:r>
              <w:rPr>
                <w:rFonts w:ascii="Noto Serif CJK SC" w:hAnsi="Noto Serif CJK SC" w:eastAsia="Noto Serif CJK SC" w:cs="Noto Serif CJK SC"/>
                <w:b w:val="0"/>
                <w:i w:val="0"/>
                <w:sz w:val="18"/>
              </w:rPr>
              <w:t>4+6+5 Extension</w:t>
            </w:r>
          </w:p>
        </w:tc>
        <w:tc>
          <w:tcPr>
            <w:tcW w:type="dxa" w:w="232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Five-anchor extension scheme</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V1 completed</w:t>
            </w:r>
          </w:p>
        </w:tc>
        <w:tc>
          <w:tcPr>
            <w:tcW w:type="dxa" w:w="124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To be merged</w:t>
            </w:r>
          </w:p>
        </w:tc>
        <w:tc>
          <w:tcPr>
            <w:tcW w:type="dxa" w:w="45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Merge into Volume IV preparatory chapter and the outline's extension section</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Tier 1</w:t>
            </w:r>
          </w:p>
        </w:tc>
      </w:tr>
      <w:tr>
        <w:tc>
          <w:tcPr>
            <w:tcW w:type="dxa" w:w="2098"/>
            <w:tcMar>
              <w:top w:w="85" w:type="dxa"/>
              <w:start w:w="95" w:type="dxa"/>
              <w:bottom w:w="85" w:type="dxa"/>
              <w:end w:w="95" w:type="dxa"/>
            </w:tcMar>
            <w:shd w:fill="F6F8FB"/>
            <w:vAlign w:val="center"/>
          </w:tcPr>
          <w:p>
            <w:pPr>
              <w:spacing w:before="0" w:after="0" w:line="283" w:lineRule="auto"/>
              <w:jc w:val="left"/>
            </w:pPr>
            <w:r>
              <w:rPr>
                <w:rFonts w:ascii="Noto Serif CJK SC" w:hAnsi="Noto Serif CJK SC" w:eastAsia="Noto Serif CJK SC" w:cs="Noto Serif CJK SC"/>
                <w:b w:val="0"/>
                <w:i w:val="0"/>
                <w:sz w:val="18"/>
              </w:rPr>
              <w:t>Experimental Validation</w:t>
            </w:r>
          </w:p>
        </w:tc>
        <w:tc>
          <w:tcPr>
            <w:tcW w:type="dxa" w:w="232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External verification axis</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Not yet formally written into the outline</w:t>
            </w:r>
          </w:p>
        </w:tc>
        <w:tc>
          <w:tcPr>
            <w:tcW w:type="dxa" w:w="124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Needs completion</w:t>
            </w:r>
          </w:p>
        </w:tc>
        <w:tc>
          <w:tcPr>
            <w:tcW w:type="dxa" w:w="45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Use final 2025 muon g−2 / 2026 Breakthrough recognition as main axis, 2025 LHC precision program as auxiliary, other cases cautiously</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Tier 1</w:t>
            </w:r>
          </w:p>
        </w:tc>
      </w:tr>
      <w:tr>
        <w:tc>
          <w:tcPr>
            <w:tcW w:type="dxa" w:w="2098"/>
            <w:tcMar>
              <w:top w:w="85" w:type="dxa"/>
              <w:start w:w="95" w:type="dxa"/>
              <w:bottom w:w="85" w:type="dxa"/>
              <w:end w:w="95" w:type="dxa"/>
            </w:tcMar>
            <w:shd w:fill="F6F8FB"/>
            <w:vAlign w:val="center"/>
          </w:tcPr>
          <w:p>
            <w:pPr>
              <w:spacing w:before="0" w:after="0" w:line="283" w:lineRule="auto"/>
              <w:jc w:val="left"/>
            </w:pPr>
            <w:r>
              <w:rPr>
                <w:rFonts w:ascii="Noto Serif CJK SC" w:hAnsi="Noto Serif CJK SC" w:eastAsia="Noto Serif CJK SC" w:cs="Noto Serif CJK SC"/>
                <w:b w:val="0"/>
                <w:i w:val="0"/>
                <w:sz w:val="18"/>
              </w:rPr>
              <w:t>Terminology &amp; Symbols Table</w:t>
            </w:r>
          </w:p>
        </w:tc>
        <w:tc>
          <w:tcPr>
            <w:tcW w:type="dxa" w:w="232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Consistency tool for the whole project</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No formal draft yet</w:t>
            </w:r>
          </w:p>
        </w:tc>
        <w:tc>
          <w:tcPr>
            <w:tcW w:type="dxa" w:w="124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Needs creation</w:t>
            </w:r>
          </w:p>
        </w:tc>
        <w:tc>
          <w:tcPr>
            <w:tcW w:type="dxa" w:w="45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Unify BNCFT, 4+6+3, 4+6+Xi_5, ontic/interface/phenomenal layers, etc.</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Tier 2</w:t>
            </w:r>
          </w:p>
        </w:tc>
      </w:tr>
      <w:tr>
        <w:tc>
          <w:tcPr>
            <w:tcW w:type="dxa" w:w="2098"/>
            <w:tcMar>
              <w:top w:w="85" w:type="dxa"/>
              <w:start w:w="95" w:type="dxa"/>
              <w:bottom w:w="85" w:type="dxa"/>
              <w:end w:w="95" w:type="dxa"/>
            </w:tcMar>
            <w:shd w:fill="F6F8FB"/>
            <w:vAlign w:val="center"/>
          </w:tcPr>
          <w:p>
            <w:pPr>
              <w:spacing w:before="0" w:after="0" w:line="283" w:lineRule="auto"/>
              <w:jc w:val="left"/>
            </w:pPr>
            <w:r>
              <w:rPr>
                <w:rFonts w:ascii="Noto Serif CJK SC" w:hAnsi="Noto Serif CJK SC" w:eastAsia="Noto Serif CJK SC" w:cs="Noto Serif CJK SC"/>
                <w:b w:val="0"/>
                <w:i w:val="0"/>
                <w:sz w:val="18"/>
              </w:rPr>
              <w:t>Unproved Proposition List</w:t>
            </w:r>
          </w:p>
        </w:tc>
        <w:tc>
          <w:tcPr>
            <w:tcW w:type="dxa" w:w="232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Risk-control and rollback sheet</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Created in this package</w:t>
            </w:r>
          </w:p>
        </w:tc>
        <w:tc>
          <w:tcPr>
            <w:tcW w:type="dxa" w:w="124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In progress</w:t>
            </w:r>
          </w:p>
        </w:tc>
        <w:tc>
          <w:tcPr>
            <w:tcW w:type="dxa" w:w="45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List unfinished propositions, minimal tasks, pass criteria and destination volumes</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Tier 1</w:t>
            </w:r>
          </w:p>
        </w:tc>
      </w:tr>
      <w:tr>
        <w:tc>
          <w:tcPr>
            <w:tcW w:type="dxa" w:w="2098"/>
            <w:tcMar>
              <w:top w:w="85" w:type="dxa"/>
              <w:start w:w="95" w:type="dxa"/>
              <w:bottom w:w="85" w:type="dxa"/>
              <w:end w:w="95" w:type="dxa"/>
            </w:tcMar>
            <w:shd w:fill="F6F8FB"/>
            <w:vAlign w:val="center"/>
          </w:tcPr>
          <w:p>
            <w:pPr>
              <w:spacing w:before="0" w:after="0" w:line="283" w:lineRule="auto"/>
              <w:jc w:val="left"/>
            </w:pPr>
            <w:r>
              <w:rPr>
                <w:rFonts w:ascii="Noto Serif CJK SC" w:hAnsi="Noto Serif CJK SC" w:eastAsia="Noto Serif CJK SC" w:cs="Noto Serif CJK SC"/>
                <w:b w:val="0"/>
                <w:i w:val="0"/>
                <w:sz w:val="18"/>
              </w:rPr>
              <w:t>Version Governance Table</w:t>
            </w:r>
          </w:p>
        </w:tc>
        <w:tc>
          <w:tcPr>
            <w:tcW w:type="dxa" w:w="2324"/>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Prevents document crossing</w:t>
            </w:r>
          </w:p>
        </w:tc>
        <w:tc>
          <w:tcPr>
            <w:tcW w:type="dxa" w:w="28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Not yet separate</w:t>
            </w:r>
          </w:p>
        </w:tc>
        <w:tc>
          <w:tcPr>
            <w:tcW w:type="dxa" w:w="1247"/>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Needs creation</w:t>
            </w:r>
          </w:p>
        </w:tc>
        <w:tc>
          <w:tcPr>
            <w:tcW w:type="dxa" w:w="4535"/>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Unify naming, versioning, dates and merge destinations</w:t>
            </w:r>
          </w:p>
        </w:tc>
        <w:tc>
          <w:tcPr>
            <w:tcW w:type="dxa" w:w="1020"/>
            <w:tcMar>
              <w:top w:w="85" w:type="dxa"/>
              <w:start w:w="95" w:type="dxa"/>
              <w:bottom w:w="85" w:type="dxa"/>
              <w:end w:w="95" w:type="dxa"/>
            </w:tcMar>
            <w:vAlign w:val="center"/>
          </w:tcPr>
          <w:p>
            <w:pPr>
              <w:spacing w:before="0" w:after="0" w:line="283" w:lineRule="auto"/>
              <w:jc w:val="left"/>
            </w:pPr>
            <w:r>
              <w:rPr>
                <w:rFonts w:ascii="Noto Serif CJK SC" w:hAnsi="Noto Serif CJK SC" w:eastAsia="Noto Serif CJK SC" w:cs="Noto Serif CJK SC"/>
                <w:b w:val="0"/>
                <w:i w:val="0"/>
                <w:sz w:val="18"/>
              </w:rPr>
              <w:t>Tier 2</w:t>
            </w:r>
          </w:p>
        </w:tc>
      </w:tr>
    </w:tbl>
    <w:p>
      <w:pPr>
        <w:sectPr>
          <w:pgSz w:w="16838" w:h="11906" w:orient="landscape"/>
          <w:pgMar w:top="1020" w:right="964" w:bottom="1020" w:left="964" w:header="567" w:footer="567" w:gutter="0"/>
          <w:cols w:space="720"/>
          <w:docGrid w:linePitch="360"/>
        </w:sectPr>
      </w:pPr>
    </w:p>
    <w:p>
      <w:pPr>
        <w:pStyle w:val="BNCFTHeading2"/>
        <w:spacing w:before="80" w:after="120" w:line="276" w:lineRule="auto"/>
        <w:jc w:val="left"/>
      </w:pPr>
      <w:r>
        <w:rPr>
          <w:rFonts w:ascii="Noto Sans CJK SC" w:hAnsi="Noto Sans CJK SC" w:eastAsia="Noto Sans CJK SC" w:cs="Noto Sans CJK SC"/>
          <w:b/>
          <w:i w:val="0"/>
          <w:color w:val="1F4E79"/>
          <w:sz w:val="25"/>
        </w:rPr>
        <w:t>Immediate action sequence</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Lock immediately: General Outline V2, research introduction, status table and the unproved-proposition list.</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Merge immediately: the string-origin interface draft and the 4+6+5 five-anchor extension draft into the preparatory chapter of Volume IV.</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Re-derive next: Volumes I and II; backfill Volume III only after they stabilise.</w:t>
      </w:r>
    </w:p>
    <w:p>
      <w:pPr>
        <w:pStyle w:val="ListBullet"/>
        <w:spacing w:before="0" w:after="60" w:line="312" w:lineRule="auto"/>
        <w:ind w:left="170" w:firstLine="0"/>
        <w:jc w:val="left"/>
      </w:pPr>
      <w:r>
        <w:rPr>
          <w:rFonts w:ascii="Noto Serif CJK SC" w:hAnsi="Noto Serif CJK SC" w:eastAsia="Noto Serif CJK SC" w:cs="Noto Serif CJK SC"/>
          <w:b w:val="0"/>
          <w:i w:val="0"/>
          <w:sz w:val="22"/>
        </w:rPr>
        <w:t>Build in parallel: terminology/symbol table and version-governance table.</w:t>
      </w:r>
    </w:p>
    <w:sectPr w:rsidR="00FC693F" w:rsidRPr="0006063C" w:rsidSect="00034616">
      <w:pgSz w:w="11906" w:h="16838"/>
      <w:pgMar w:top="1247" w:right="1247" w:bottom="1134" w:left="136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Noto Sans CJK SC" w:hAnsi="Noto Sans CJK SC" w:eastAsia="Noto Sans CJK SC" w:cs="Noto Sans CJK SC"/>
        <w:b w:val="0"/>
        <w:i w:val="0"/>
        <w:color w:val="595959"/>
        <w:sz w:val="17"/>
      </w:rPr>
      <w:t xml:space="preserve">BNCFT · </w:t>
    </w:r>
    <w:r>
      <w:rPr>
        <w:rFonts w:ascii="Noto Serif CJK SC" w:hAnsi="Noto Serif CJK SC" w:eastAsia="Noto Serif CJK SC" w:cs="Noto Serif CJK SC"/>
        <w:b w:val="0"/>
        <w:i w:val="0"/>
        <w:color w:val="595959"/>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right"/>
    </w:pPr>
    <w:r>
      <w:rPr>
        <w:rFonts w:ascii="Noto Sans CJK SC" w:hAnsi="Noto Sans CJK SC" w:eastAsia="Noto Sans CJK SC" w:cs="Noto Sans CJK SC"/>
        <w:b w:val="0"/>
        <w:i w:val="0"/>
        <w:color w:val="595959"/>
        <w:sz w:val="17"/>
      </w:rPr>
      <w:t>BNCFT Master Status Table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NCFTBody">
    <w:name w:val="BNCFT Body"/>
    <w:rPr>
      <w:rFonts w:ascii="Noto Serif CJK SC" w:hAnsi="Noto Serif CJK SC" w:eastAsia="Noto Serif CJK SC"/>
      <w:sz w:val="22"/>
    </w:rPr>
  </w:style>
  <w:style w:type="paragraph" w:customStyle="1" w:styleId="BNCFTHeading1">
    <w:name w:val="BNCFT Heading 1"/>
    <w:rPr>
      <w:rFonts w:ascii="Noto Sans CJK SC" w:hAnsi="Noto Sans CJK SC" w:eastAsia="Noto Sans CJK SC"/>
      <w:b/>
      <w:color w:val="1F4E79"/>
      <w:sz w:val="30"/>
    </w:rPr>
  </w:style>
  <w:style w:type="paragraph" w:customStyle="1" w:styleId="BNCFTHeading2">
    <w:name w:val="BNCFT Heading 2"/>
    <w:rPr>
      <w:rFonts w:ascii="Noto Sans CJK SC" w:hAnsi="Noto Sans CJK SC" w:eastAsia="Noto Sans CJK SC"/>
      <w:b/>
      <w:color w:val="1F4E79"/>
      <w:sz w:val="2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