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AD72E">
      <w:pPr>
        <w:pStyle w:val="31"/>
        <w:jc w:val="center"/>
      </w:pPr>
      <w:bookmarkStart w:id="0" w:name="_GoBack"/>
      <w:bookmarkEnd w:id="0"/>
      <w:r>
        <w:rPr>
          <w:rFonts w:ascii="Arial" w:hAnsi="Arial" w:eastAsia="微软雅黑"/>
          <w:b/>
          <w:i w:val="0"/>
          <w:color w:val="223C68"/>
          <w:sz w:val="44"/>
        </w:rPr>
        <w:t>无背景非线性共享场理论总纲（重置修订版）</w:t>
      </w:r>
    </w:p>
    <w:p w14:paraId="2D716CE8">
      <w:pPr>
        <w:pStyle w:val="26"/>
        <w:jc w:val="center"/>
      </w:pPr>
      <w:r>
        <w:rPr>
          <w:rFonts w:ascii="Arial" w:hAnsi="Arial" w:eastAsia="微软雅黑"/>
          <w:b w:val="0"/>
          <w:i w:val="0"/>
          <w:color w:val="5F5F5F"/>
          <w:sz w:val="24"/>
        </w:rPr>
        <w:t>Background-Free Nonlinear Common Field Theory Master Outline (Reset Revision)</w:t>
      </w:r>
    </w:p>
    <w:p w14:paraId="78CCEA5E">
      <w:pPr>
        <w:pStyle w:val="26"/>
        <w:jc w:val="center"/>
      </w:pPr>
      <w:r>
        <w:rPr>
          <w:rFonts w:ascii="Arial" w:hAnsi="Arial" w:eastAsia="微软雅黑"/>
          <w:b w:val="0"/>
          <w:i w:val="0"/>
          <w:color w:val="5F5F5F"/>
          <w:sz w:val="24"/>
        </w:rPr>
        <w:t>版本 Version: V2    日期 Date: 2026-04-18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15CF3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4" w:type="dxa"/>
            <w:shd w:val="clear" w:color="auto" w:fill="EEF3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456B07">
            <w:r>
              <w:rPr>
                <w:rFonts w:ascii="Arial" w:hAnsi="Arial" w:eastAsia="微软雅黑"/>
                <w:b w:val="0"/>
                <w:i w:val="0"/>
                <w:sz w:val="21"/>
              </w:rPr>
              <w:t>文件用途：用于从总纲重新起步后的正式主链统一。自本版起，理论正式名称统一为“无背景非线性共享场理论（BNCFT）/ Background-Free Nonlinear Common Field Theory”。本稿不宣称理论已完成，而是重新固定总目标、分编结构、输出体系、验收口径与回退纪律。</w:t>
            </w:r>
          </w:p>
        </w:tc>
      </w:tr>
    </w:tbl>
    <w:p w14:paraId="7C3F5986"/>
    <w:p w14:paraId="4E769D1B">
      <w:pPr>
        <w:pStyle w:val="3"/>
      </w:pPr>
      <w:r>
        <w:t>一、总立场与总目标</w:t>
      </w:r>
    </w:p>
    <w:p w14:paraId="7F62AB70">
      <w:pPr>
        <w:spacing w:after="80" w:line="307" w:lineRule="auto"/>
      </w:pPr>
      <w:r>
        <w:rPr>
          <w:rFonts w:ascii="Arial" w:hAnsi="Arial" w:eastAsia="微软雅黑"/>
          <w:b w:val="0"/>
          <w:i w:val="0"/>
          <w:sz w:val="21"/>
        </w:rPr>
        <w:t>BNCFT 的总立场，是在无背景条件下，以一个非线性共享场母结构统一承载因果序、离散几何、有效动力学、质量接口与弱场比较。理论施工必须坚持“结构先行、物理后读出；定义先行、证明后置；验证先行、宣称后置”的总纪律。</w:t>
      </w:r>
    </w:p>
    <w:p w14:paraId="2E9C9E0A">
      <w:pPr>
        <w:spacing w:after="80" w:line="307" w:lineRule="auto"/>
      </w:pPr>
      <w:r>
        <w:rPr>
          <w:rFonts w:ascii="Arial" w:hAnsi="Arial" w:eastAsia="微软雅黑"/>
          <w:b w:val="0"/>
          <w:i w:val="0"/>
          <w:sz w:val="21"/>
        </w:rPr>
        <w:t>本版总纲的价值不在于增加结论，而在于把全部文稿重新拉回到同一正式命名、同一主链结构与同一验收制度之下，使后续各编的修改具备统一参照。</w:t>
      </w:r>
    </w:p>
    <w:p w14:paraId="27E4E311">
      <w:pPr>
        <w:pStyle w:val="3"/>
      </w:pPr>
      <w:r>
        <w:t>二、四条总纪律</w:t>
      </w:r>
    </w:p>
    <w:p w14:paraId="5CC3240F">
      <w:pPr>
        <w:spacing w:after="80" w:line="307" w:lineRule="auto"/>
      </w:pPr>
      <w:r>
        <w:rPr>
          <w:rFonts w:ascii="Arial" w:hAnsi="Arial" w:eastAsia="微软雅黑"/>
          <w:b w:val="0"/>
          <w:i w:val="0"/>
          <w:sz w:val="21"/>
        </w:rPr>
        <w:t>1. 不预设时空、粒子、经典流形或外部时间参数作为本体前提。</w:t>
      </w:r>
    </w:p>
    <w:p w14:paraId="6A45405F">
      <w:pPr>
        <w:spacing w:after="80" w:line="307" w:lineRule="auto"/>
      </w:pPr>
      <w:r>
        <w:rPr>
          <w:rFonts w:ascii="Arial" w:hAnsi="Arial" w:eastAsia="微软雅黑"/>
          <w:b w:val="0"/>
          <w:i w:val="0"/>
          <w:sz w:val="21"/>
        </w:rPr>
        <w:t>2. 任何连续量都只能作为离散结构的后验粗粒化或有效接口读出。</w:t>
      </w:r>
    </w:p>
    <w:p w14:paraId="13F80E08">
      <w:pPr>
        <w:spacing w:after="80" w:line="307" w:lineRule="auto"/>
      </w:pPr>
      <w:r>
        <w:rPr>
          <w:rFonts w:ascii="Arial" w:hAnsi="Arial" w:eastAsia="微软雅黑"/>
          <w:b w:val="0"/>
          <w:i w:val="0"/>
          <w:sz w:val="21"/>
        </w:rPr>
        <w:t>3. 所有论断统一使用“已定义—待证—待检验—仅假设”四级表达。</w:t>
      </w:r>
    </w:p>
    <w:p w14:paraId="129933A3">
      <w:pPr>
        <w:spacing w:after="80" w:line="307" w:lineRule="auto"/>
      </w:pPr>
      <w:r>
        <w:rPr>
          <w:rFonts w:ascii="Arial" w:hAnsi="Arial" w:eastAsia="微软雅黑"/>
          <w:b w:val="0"/>
          <w:i w:val="0"/>
          <w:sz w:val="21"/>
        </w:rPr>
        <w:t>4. 所有正式文档统一采用中英双语，并以 BNCFT 作为正式简称。</w:t>
      </w:r>
    </w:p>
    <w:p w14:paraId="5185C336">
      <w:pPr>
        <w:pStyle w:val="3"/>
      </w:pPr>
      <w:r>
        <w:t>三、六部分主线</w:t>
      </w:r>
    </w:p>
    <w:p w14:paraId="4331BEC3">
      <w:r>
        <w:rPr>
          <w:rFonts w:ascii="Arial" w:hAnsi="Arial" w:eastAsia="微软雅黑"/>
          <w:b w:val="0"/>
          <w:i w:val="0"/>
          <w:sz w:val="21"/>
        </w:rPr>
        <w:t>本轮重置后，建议用下表作为全套文稿的主干分工。每一编都应回答“输入是什么、输出是什么、是否闭合、失败后回退到哪一层”。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03EA5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shd w:val="clear" w:color="auto" w:fill="D9E6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20F2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23C68"/>
                <w:sz w:val="21"/>
              </w:rPr>
              <w:t>部分</w:t>
            </w:r>
          </w:p>
        </w:tc>
        <w:tc>
          <w:tcPr>
            <w:tcW w:w="2379" w:type="dxa"/>
            <w:shd w:val="clear" w:color="auto" w:fill="D9E6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FF73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23C68"/>
                <w:sz w:val="21"/>
              </w:rPr>
              <w:t>主任务</w:t>
            </w:r>
          </w:p>
        </w:tc>
        <w:tc>
          <w:tcPr>
            <w:tcW w:w="2379" w:type="dxa"/>
            <w:shd w:val="clear" w:color="auto" w:fill="D9E6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8479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23C68"/>
                <w:sz w:val="21"/>
              </w:rPr>
              <w:t>核心输出</w:t>
            </w:r>
          </w:p>
        </w:tc>
        <w:tc>
          <w:tcPr>
            <w:tcW w:w="2379" w:type="dxa"/>
            <w:shd w:val="clear" w:color="auto" w:fill="D9E6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7C5D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23C68"/>
                <w:sz w:val="21"/>
              </w:rPr>
              <w:t>当前口径</w:t>
            </w:r>
          </w:p>
        </w:tc>
      </w:tr>
      <w:tr w14:paraId="70F32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2F91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第一编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EB15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母结构、公设、合法对象与红线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F10A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母动力学、对象字典、红线与回退制度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E58B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不得提前写入接口量</w:t>
            </w:r>
          </w:p>
        </w:tc>
      </w:tr>
      <w:tr w14:paraId="73A88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DE0D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第二编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235E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从更新序到因果序、时间刻画与切片构造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678F8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因果偏序、切片族、时间与原初空间读出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0690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为传播、通量、源项提供结构底座</w:t>
            </w:r>
          </w:p>
        </w:tc>
      </w:tr>
      <w:tr w14:paraId="68BF5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80DE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第三编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A175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离散几何接口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8AC6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距离代理、体积增长、曲率代理、边界结构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2726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只做接口，不做物理翻译</w:t>
            </w:r>
          </w:p>
        </w:tc>
      </w:tr>
      <w:tr w14:paraId="7CD33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5C1C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第四编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ED8A7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有效物理接口与质量问题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BC205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稳定态、传播、守恒、质量三分接口、弱场比较入口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7FC6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第一章固定为质量接口章</w:t>
            </w:r>
          </w:p>
        </w:tc>
      </w:tr>
      <w:tr w14:paraId="72A6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EB8A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第五编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9026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连续极限前的有效方程化与更高层比较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114B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变量升级、候选方程、等效性进一步检验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FA70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仅在第四编闭合后展开</w:t>
            </w:r>
          </w:p>
        </w:tc>
      </w:tr>
      <w:tr w14:paraId="7F177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E2C5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附录/实施稿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179A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数值协议、失败样例、程序与审核清单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BE96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可复核的计算材料与回退记录</w:t>
            </w:r>
          </w:p>
        </w:tc>
        <w:tc>
          <w:tcPr>
            <w:tcW w:w="23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93CE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服务于审查与复核</w:t>
            </w:r>
          </w:p>
        </w:tc>
      </w:tr>
    </w:tbl>
    <w:p w14:paraId="68D20C03">
      <w:pPr>
        <w:pStyle w:val="3"/>
      </w:pPr>
      <w:r>
        <w:t>四、近期修改纪律</w:t>
      </w:r>
    </w:p>
    <w:p w14:paraId="48E85742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• 所有旧文稿中的 BICFT、BiCFT、无背景基元子混沌场理论等正式称谓，一律改为 BNCFT，或明确降级为旧路线归档文本。</w:t>
      </w:r>
    </w:p>
    <w:p w14:paraId="5DC4ADF2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• 凡属于“接口章”的内容，不得提前写成母理论公设。</w:t>
      </w:r>
    </w:p>
    <w:p w14:paraId="34830994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• 凡尚未通过切片稳定性、尺度稳定性与统计稳健性检验的量，不得升级为连续物理量。</w:t>
      </w:r>
    </w:p>
    <w:p w14:paraId="1EB4AEBE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• 第四编第一章正式定位为“质量三分定义及其等效性问题”的接口章 / 预备章。</w:t>
      </w:r>
    </w:p>
    <w:p w14:paraId="290F5BC2">
      <w:pPr>
        <w:pStyle w:val="3"/>
      </w:pPr>
      <w:r>
        <w:t>五、近期执行顺序</w:t>
      </w:r>
    </w:p>
    <w:p w14:paraId="1B155A81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第一优先级：完成总纲两版的统一命名、统一主线与统一输出清单。</w:t>
      </w:r>
    </w:p>
    <w:p w14:paraId="1E5FDF3C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第二优先级：锁定第四编第一章接口身份，并重写第四编整编结构。</w:t>
      </w:r>
    </w:p>
    <w:p w14:paraId="1DA80BEE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第三优先级：判断旧第一部分建模稿是并入主线还是转为历史路线比较稿。</w:t>
      </w:r>
    </w:p>
    <w:p w14:paraId="13E16C6A">
      <w:pPr>
        <w:pStyle w:val="3"/>
      </w:pPr>
      <w:r>
        <w:t>六、阶段性输出清单</w:t>
      </w:r>
    </w:p>
    <w:p w14:paraId="429B2678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1. 总纲（重置修订版）</w:t>
      </w:r>
    </w:p>
    <w:p w14:paraId="26B5867A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2. 总纲（核验吸收修订版）</w:t>
      </w:r>
    </w:p>
    <w:p w14:paraId="0347373B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3. 英文总纲统一版</w:t>
      </w:r>
    </w:p>
    <w:p w14:paraId="5019D9E3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4. 第四编第一章接口定位稿</w:t>
      </w:r>
    </w:p>
    <w:p w14:paraId="5324BB68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5. 第四编卷首总说明 / A0</w:t>
      </w:r>
    </w:p>
    <w:p w14:paraId="3B383982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6. 第四编第一章正式稿</w:t>
      </w:r>
    </w:p>
    <w:p w14:paraId="7B922C56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7. 第四编重写整编稿</w:t>
      </w:r>
    </w:p>
    <w:p w14:paraId="6D1BCBF1">
      <w:pPr>
        <w:pStyle w:val="3"/>
      </w:pPr>
      <w:r>
        <w:t>七、阶段验收与回退原则</w:t>
      </w:r>
    </w:p>
    <w:p w14:paraId="2A7D774B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若总纲仍不能统一命名、统一术语与统一章节身份，则不得进入后续正文。</w:t>
      </w:r>
    </w:p>
    <w:p w14:paraId="05D3C43F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若第四编接口章无法稳定定位为“接口设定稿”而总被写成终局证明稿，则应回退到总纲重审。</w:t>
      </w:r>
    </w:p>
    <w:p w14:paraId="688A5D37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若任何候选变量未通过切片稳定性、尺度稳定性与统计稳健性检查，则必须降级为“待检验”或“仅施工变量”。</w:t>
      </w:r>
    </w:p>
    <w:p w14:paraId="2B75B4D3">
      <w:pPr>
        <w:pStyle w:val="3"/>
      </w:pPr>
      <w:r>
        <w:t>English Version</w:t>
      </w:r>
    </w:p>
    <w:p w14:paraId="0CE6797B">
      <w:pPr>
        <w:pStyle w:val="4"/>
      </w:pPr>
      <w:r>
        <w:t>Document Status</w:t>
      </w:r>
    </w:p>
    <w:p w14:paraId="297391BE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This document resets the formal master-outline position of the project under the official name Background-Free Nonlinear Common Field Theory (BNCFT).</w:t>
      </w:r>
    </w:p>
    <w:p w14:paraId="3D7703E2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Its role is not to declare the theory complete, but to restore one official name, one document hierarchy, one revision order, and one acceptance discipline for the full corpus.</w:t>
      </w:r>
    </w:p>
    <w:p w14:paraId="791D8AFD">
      <w:pPr>
        <w:pStyle w:val="4"/>
      </w:pPr>
      <w:r>
        <w:t>Core Commitments</w:t>
      </w:r>
    </w:p>
    <w:p w14:paraId="13883EB9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1. No spacetime, particles, classical manifold, or external time parameter is presupposed as an ontic primitive.</w:t>
      </w:r>
    </w:p>
    <w:p w14:paraId="7B1A6205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2. Every continuous quantity may appear only as an a posteriori coarse-grained or effective interface readout.</w:t>
      </w:r>
    </w:p>
    <w:p w14:paraId="18A7B34D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3. All claims use a four-level scale: defined, to be proved, to be tested, or still hypothetical.</w:t>
      </w:r>
    </w:p>
    <w:p w14:paraId="29B2A1DA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4. All formal documents remain bilingual and use BNCFT as the official abbreviation.</w:t>
      </w:r>
    </w:p>
    <w:p w14:paraId="433FA8D9">
      <w:pPr>
        <w:pStyle w:val="4"/>
      </w:pPr>
      <w:r>
        <w:t>Six-part Main Line</w:t>
      </w:r>
    </w:p>
    <w:p w14:paraId="0484AF67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Volume I: mother structure, axioms, legal objects, red lines, and rollback discipline.</w:t>
      </w:r>
    </w:p>
    <w:p w14:paraId="64169ACB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Volume II: causal order, temporal characterization, and slicing structure.</w:t>
      </w:r>
    </w:p>
    <w:p w14:paraId="46DBF789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Volume III: discrete geometric interface, including distance proxies, volume growth, curvature proxies, and boundaries.</w:t>
      </w:r>
    </w:p>
    <w:p w14:paraId="564A4AEB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Volume IV: effective physical interfaces and the mass problem, with the threefold definition of mass placed at the opening interface chapter.</w:t>
      </w:r>
    </w:p>
    <w:p w14:paraId="2CEC2BB1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Volume V: pre-continuum effective equation layer and higher-level comparison.</w:t>
      </w:r>
    </w:p>
    <w:p w14:paraId="047A0203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Appendices / implementation notes: numerical protocols, failure cases, and audit materials.</w:t>
      </w:r>
    </w:p>
    <w:p w14:paraId="6CE18B2D">
      <w:pPr>
        <w:pStyle w:val="4"/>
      </w:pPr>
      <w:r>
        <w:t>Immediate Revision Rules</w:t>
      </w:r>
    </w:p>
    <w:p w14:paraId="0BCFD73F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• All formal uses of BICFT/BiCFT or the older theory name must either be rewritten into BNCFT or archived as legacy-route material.</w:t>
      </w:r>
    </w:p>
    <w:p w14:paraId="43D21564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• Interface-level material must not be promoted into axioms prematurely.</w:t>
      </w:r>
    </w:p>
    <w:p w14:paraId="50421016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• Any quantity that has not passed slice, scale, and statistical stability checks must not be promoted into a continuous physical quantity.</w:t>
      </w:r>
    </w:p>
    <w:p w14:paraId="10584934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• Volume IV Chapter 1 is fixed as an interface / preparatory chapter on the threefold mass problem.</w:t>
      </w:r>
    </w:p>
    <w:p w14:paraId="03F40CF1">
      <w:pPr>
        <w:pStyle w:val="4"/>
      </w:pPr>
      <w:r>
        <w:t>Implementation Order</w:t>
      </w:r>
    </w:p>
    <w:p w14:paraId="5F6EAE93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First priority: unify the two master-outline revisions.</w:t>
      </w:r>
    </w:p>
    <w:p w14:paraId="6EDB147C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Second priority: rewrite Volume IV around the mass-interface entrance and its operational layer.</w:t>
      </w:r>
    </w:p>
    <w:p w14:paraId="4C2A8F10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Third priority: decide whether the old modeling draft is integrated into the main line or retained as a comparative legacy-route text.</w:t>
      </w:r>
    </w:p>
    <w:p w14:paraId="42C4931F">
      <w:pPr>
        <w:pStyle w:val="4"/>
      </w:pPr>
      <w:r>
        <w:t>Bottom-line Conclusion</w:t>
      </w:r>
    </w:p>
    <w:p w14:paraId="66A9E3C4">
      <w:pPr>
        <w:spacing w:after="80" w:line="300" w:lineRule="auto"/>
      </w:pPr>
      <w:r>
        <w:rPr>
          <w:rFonts w:ascii="Arial" w:hAnsi="Arial" w:eastAsia="微软雅黑"/>
          <w:b w:val="0"/>
          <w:i w:val="0"/>
          <w:sz w:val="21"/>
        </w:rPr>
        <w:t>The value of this reset outline is organizational and methodological. Once stabilized, it provides the single reference framework for what later documents may keep, downgrade, postpone, or roll back.</w:t>
      </w:r>
    </w:p>
    <w:p w14:paraId="744EA589">
      <w:pPr>
        <w:jc w:val="center"/>
      </w:pPr>
      <w:r>
        <w:rPr>
          <w:rFonts w:ascii="Arial" w:hAnsi="Arial" w:eastAsia="微软雅黑"/>
          <w:b w:val="0"/>
          <w:i/>
          <w:color w:val="6A6A6A"/>
          <w:sz w:val="20"/>
        </w:rPr>
        <w:t>BNCFT / 无背景非线性共享场理论</w:t>
      </w:r>
    </w:p>
    <w:sectPr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5C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23C68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4C7D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5F5F5F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23C68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1621</Words>
  <Characters>3487</Characters>
  <Lines>0</Lines>
  <Paragraphs>0</Paragraphs>
  <TotalTime>0</TotalTime>
  <ScaleCrop>false</ScaleCrop>
  <LinksUpToDate>false</LinksUpToDate>
  <CharactersWithSpaces>3852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wuqiming</cp:lastModifiedBy>
  <dcterms:modified xsi:type="dcterms:W3CDTF">2026-04-18T03:54:36Z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CADF61322B844888ADA8701BEE2DE2C8_13</vt:lpwstr>
  </property>
</Properties>
</file>