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E9382">
      <w:pPr>
        <w:pStyle w:val="164"/>
        <w:spacing w:before="200" w:after="60" w:line="288" w:lineRule="auto"/>
        <w:jc w:val="center"/>
      </w:pPr>
      <w:bookmarkStart w:id="0" w:name="_GoBack"/>
      <w:bookmarkEnd w:id="0"/>
      <w:r>
        <w:rPr>
          <w:rFonts w:ascii="Times New Roman" w:hAnsi="Times New Roman" w:eastAsia="Noto Serif CJK SC"/>
          <w:b/>
          <w:i w:val="0"/>
          <w:color w:val="243B5A"/>
          <w:sz w:val="36"/>
        </w:rPr>
        <w:t>BNCFT 第一部分建模稿（转接修订版）</w:t>
      </w:r>
    </w:p>
    <w:p w14:paraId="1A7B1433">
      <w:pPr>
        <w:spacing w:before="0" w:after="2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4F6B8A"/>
          <w:sz w:val="24"/>
        </w:rPr>
        <w:t>BNCFT Part I Modeling Draft (Transition Revision)</w:t>
      </w:r>
    </w:p>
    <w:p w14:paraId="02F4C7A0">
      <w:pPr>
        <w:spacing w:before="0" w:after="240" w:line="288" w:lineRule="auto"/>
        <w:jc w:val="center"/>
      </w:pPr>
      <w:r>
        <w:rPr>
          <w:rFonts w:ascii="Times New Roman" w:hAnsi="Times New Roman" w:eastAsia="Noto Serif CJK SC"/>
          <w:b w:val="0"/>
          <w:i w:val="0"/>
          <w:color w:val="666666"/>
          <w:sz w:val="20"/>
        </w:rPr>
        <w:t>用于判定旧建模线在 BNCFT 中的保留、降级与转接方式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35D99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4052B">
            <w:pPr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理论名称</w:t>
            </w:r>
          </w:p>
        </w:tc>
        <w:tc>
          <w:tcPr>
            <w:tcW w:w="255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8CD6E">
            <w:pPr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缩写</w:t>
            </w:r>
          </w:p>
        </w:tc>
        <w:tc>
          <w:tcPr>
            <w:tcW w:w="15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6C8FA">
            <w:pPr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版本</w:t>
            </w:r>
          </w:p>
        </w:tc>
        <w:tc>
          <w:tcPr>
            <w:tcW w:w="255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A58C6">
            <w:pPr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日期</w:t>
            </w:r>
          </w:p>
        </w:tc>
      </w:tr>
      <w:tr w14:paraId="372AE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EFF37">
            <w:pPr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无背景非线性共享场理论 / Background-Free Nonlinear Common Field Theory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6D16F">
            <w:pPr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BNCFT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E41E0">
            <w:pPr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V1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240BF">
            <w:pPr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2026-04-18</w:t>
            </w:r>
          </w:p>
        </w:tc>
      </w:tr>
    </w:tbl>
    <w:p w14:paraId="40004846"/>
    <w:p w14:paraId="4EE61FDB">
      <w:pPr>
        <w:spacing w:before="160" w:after="80" w:line="288" w:lineRule="auto"/>
      </w:pPr>
      <w:r>
        <w:rPr>
          <w:rFonts w:ascii="Times New Roman" w:hAnsi="Times New Roman" w:eastAsia="Noto Serif CJK SC"/>
          <w:b/>
          <w:i w:val="0"/>
          <w:color w:val="1F3556"/>
          <w:sz w:val="28"/>
        </w:rPr>
        <w:t>中文版</w:t>
      </w:r>
    </w:p>
    <w:p w14:paraId="6ACF60DA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文件定位</w:t>
      </w:r>
    </w:p>
    <w:p w14:paraId="2F4BD997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本稿不是把旧“基元子混沌场理论第一部分建模稿”直接改写成 BNCFT 母理论，而是把旧建模线转化为 BNCFT 语境下的转接文档。</w:t>
      </w:r>
    </w:p>
    <w:p w14:paraId="7DA9E7BA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其核心任务是说明：旧建模稿中哪些内容可保留为比较模型、哪些内容必须降级为历史路线、哪些内容可作为 BNCFT 未来有效模型的参考资源。</w:t>
      </w:r>
    </w:p>
    <w:p w14:paraId="488164AE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为什么不能直接作为正式母理论稿</w:t>
      </w:r>
    </w:p>
    <w:p w14:paraId="6B99DACB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旧稿显式使用四维流形、最小作用量与场方程作为起点，这与 BNCFT 当前坚持的无背景总纪律并不一致。</w:t>
      </w:r>
    </w:p>
    <w:p w14:paraId="2C44288F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旧稿中的“背景场 + 激发场”分解属于候选有效模型语言，而不是无背景母结构的正式起点。</w:t>
      </w:r>
    </w:p>
    <w:p w14:paraId="07AC319E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因此，旧稿只能作为转接建模稿或比较模型稿，而不能直接代表 BNCFT 第一部分正式母理论。</w:t>
      </w:r>
    </w:p>
    <w:p w14:paraId="6E2D23ED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可保留的数学资产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231"/>
        <w:gridCol w:w="2721"/>
      </w:tblGrid>
      <w:tr w14:paraId="01BC2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EEF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保留项</w:t>
            </w:r>
          </w:p>
        </w:tc>
        <w:tc>
          <w:tcPr>
            <w:tcW w:w="323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AC0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可保留理由</w:t>
            </w:r>
          </w:p>
        </w:tc>
        <w:tc>
          <w:tcPr>
            <w:tcW w:w="272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452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在 BNCFT 中的身份</w:t>
            </w:r>
          </w:p>
        </w:tc>
      </w:tr>
      <w:tr w14:paraId="757E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4FC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最小对象/变量意识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0EB0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有助于避免概念泛化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BA7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方法资产</w:t>
            </w:r>
          </w:p>
        </w:tc>
      </w:tr>
      <w:tr w14:paraId="7182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33C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成功/失败条件写法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AD4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适合转为阶段验收语言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76A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制度资产</w:t>
            </w:r>
          </w:p>
        </w:tc>
      </w:tr>
      <w:tr w14:paraId="615E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774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统计真空 / 稳态背景的区分意识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58C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可转化为有效层的稳态判据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AB3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候选接口资产</w:t>
            </w:r>
          </w:p>
        </w:tc>
      </w:tr>
      <w:tr w14:paraId="68F55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87F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传播模、稳定解、耦合项分层讨论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FC8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可作为未来有效模型的比较模板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98C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比较模型资产</w:t>
            </w:r>
          </w:p>
        </w:tc>
      </w:tr>
    </w:tbl>
    <w:p w14:paraId="605F61F5"/>
    <w:p w14:paraId="590D1370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必须降级的旧写法</w:t>
      </w:r>
    </w:p>
    <w:p w14:paraId="0B935F3B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把四维流形 M^4 作为先行舞台的写法，必须降级为‘比较性有效模型设定’。</w:t>
      </w:r>
    </w:p>
    <w:p w14:paraId="7DF9383A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把作用量与拉格朗日量作为母结构起点的写法，必须降级为‘可能的后验连续模型候选’。</w:t>
      </w:r>
    </w:p>
    <w:p w14:paraId="6BB86866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把背景场与激发场直接当成理论本体层对象的写法，必须改写为‘有效层中的读出分解’。</w:t>
      </w:r>
    </w:p>
    <w:p w14:paraId="4F59B86A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建议的新身份</w:t>
      </w:r>
    </w:p>
    <w:p w14:paraId="56089C4B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建议将旧建模稿改名并定位为：‘BNCFT 第一部分建模稿（转接修订版）’。其功能不是给出正式母理论，而是为未来可能的连续有效模型、比较模型与数值试验模型提供统一母版。</w:t>
      </w:r>
    </w:p>
    <w:p w14:paraId="4C8CF582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后续接口</w:t>
      </w:r>
    </w:p>
    <w:p w14:paraId="7DD5FC8E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若未来第四编与第五编形成稳定的接口变量，则本稿可升级为‘有效模型候选稿’。</w:t>
      </w:r>
    </w:p>
    <w:p w14:paraId="346376B9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若无背景主线尚未闭合，则本稿保持转接身份，不得作为总纲的正式代表文本。</w:t>
      </w:r>
    </w:p>
    <w:p w14:paraId="3427AF3F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任何引用本稿的地方，都必须注明它不等于 BNCFT 母理论公设层。</w:t>
      </w:r>
    </w:p>
    <w:p w14:paraId="00A1610B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阶段性结论</w:t>
      </w:r>
    </w:p>
    <w:p w14:paraId="44B047C3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本稿的最合理处理方式，不是简单删除，也不是直接扶正，而是清楚地把它放到 BNCFT 的‘转接建模 / 比较模型’层。这样既能保留旧工作的数学价值，也不会破坏新总纲的无背景纪律。</w:t>
      </w:r>
    </w:p>
    <w:p w14:paraId="3A2C80F9">
      <w:r>
        <w:br w:type="page"/>
      </w:r>
    </w:p>
    <w:p w14:paraId="5EFCF229">
      <w:pPr>
        <w:spacing w:before="160" w:after="80" w:line="288" w:lineRule="auto"/>
      </w:pPr>
      <w:r>
        <w:rPr>
          <w:rFonts w:ascii="Times New Roman" w:hAnsi="Times New Roman" w:eastAsia="Noto Serif CJK SC"/>
          <w:b/>
          <w:i w:val="0"/>
          <w:color w:val="1F3556"/>
          <w:sz w:val="28"/>
        </w:rPr>
        <w:t>English Version</w:t>
      </w:r>
    </w:p>
    <w:p w14:paraId="6DDD3C0D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Document Status</w:t>
      </w:r>
    </w:p>
    <w:p w14:paraId="22781EF2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This document is not a direct conversion of the older modeling draft into the formal mother-theory text of BNCFT. It is a transition document.</w:t>
      </w:r>
    </w:p>
    <w:p w14:paraId="0C4FB51D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Its role is to determine what should be retained as a comparison model, what must be downgraded to a legacy route, and what may later serve as a candidate effective model.</w:t>
      </w:r>
    </w:p>
    <w:p w14:paraId="0C8299D8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Why the Old Draft Cannot Be Used as the Formal Mother Theory</w:t>
      </w:r>
    </w:p>
    <w:p w14:paraId="1510261E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The older draft explicitly starts from a four-dimensional manifold and an action-based field model, which does not match the current background-free discipline of BNCFT.</w:t>
      </w:r>
    </w:p>
    <w:p w14:paraId="6427F4B7">
      <w:pPr>
        <w:spacing w:before="0" w:after="40" w:line="288" w:lineRule="auto"/>
        <w:ind w:left="340" w:hanging="227"/>
      </w:pPr>
      <w:r>
        <w:rPr>
          <w:rFonts w:ascii="Times New Roman" w:hAnsi="Times New Roman" w:eastAsia="Noto Serif CJK SC"/>
          <w:b/>
          <w:i w:val="0"/>
          <w:color w:val="2F5597"/>
          <w:sz w:val="22"/>
        </w:rPr>
        <w:t xml:space="preserve">• </w:t>
      </w:r>
      <w:r>
        <w:rPr>
          <w:rFonts w:ascii="Times New Roman" w:hAnsi="Times New Roman" w:eastAsia="Noto Serif CJK SC"/>
          <w:b w:val="0"/>
          <w:i w:val="0"/>
          <w:sz w:val="22"/>
        </w:rPr>
        <w:t>Its split into background field plus excitation field belongs to an effective-model language, not to the formal mother structure.</w:t>
      </w:r>
    </w:p>
    <w:p w14:paraId="7A7B0A4A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Retainable Mathematical Assets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288"/>
        <w:gridCol w:w="2608"/>
      </w:tblGrid>
      <w:tr w14:paraId="070EA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20C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Asset</w:t>
            </w:r>
          </w:p>
        </w:tc>
        <w:tc>
          <w:tcPr>
            <w:tcW w:w="328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6F56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Why retain it</w:t>
            </w:r>
          </w:p>
        </w:tc>
        <w:tc>
          <w:tcPr>
            <w:tcW w:w="260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8E4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1F3556"/>
                <w:sz w:val="20"/>
              </w:rPr>
              <w:t>Status inside BNCFT</w:t>
            </w:r>
          </w:p>
        </w:tc>
      </w:tr>
      <w:tr w14:paraId="22C5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2B2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Minimal-variable discipline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C4B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Prevents conceptual drift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64E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Method asset</w:t>
            </w:r>
          </w:p>
        </w:tc>
      </w:tr>
      <w:tr w14:paraId="7996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3E7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Success/failure condition language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AF5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Fits staged acceptance rules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54A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Procedural asset</w:t>
            </w:r>
          </w:p>
        </w:tc>
      </w:tr>
      <w:tr w14:paraId="6BCC9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FE4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Awareness of statistical vacuum vs. stable background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A5B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May be translated into effective-layer stability criteria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D9C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Interface asset</w:t>
            </w:r>
          </w:p>
        </w:tc>
      </w:tr>
      <w:tr w14:paraId="0969C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008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Layered discussion of modes and couplings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0A5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Useful as a future comparison template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B81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sz w:val="20"/>
              </w:rPr>
              <w:t>Comparison-model asset</w:t>
            </w:r>
          </w:p>
        </w:tc>
      </w:tr>
    </w:tbl>
    <w:p w14:paraId="0265BFC6"/>
    <w:p w14:paraId="081B7570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Recommended New Status</w:t>
      </w:r>
    </w:p>
    <w:p w14:paraId="4EA59DC2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The old modeling draft should be retained as a transition modeling memorandum or comparison-model draft, not as the formal Part I mother-theory manuscript of BNCFT.</w:t>
      </w:r>
    </w:p>
    <w:p w14:paraId="71FA1A43">
      <w:pPr>
        <w:spacing w:before="120" w:after="40" w:line="288" w:lineRule="auto"/>
      </w:pPr>
      <w:r>
        <w:rPr>
          <w:rFonts w:ascii="Times New Roman" w:hAnsi="Times New Roman" w:eastAsia="Noto Serif CJK SC"/>
          <w:b/>
          <w:i w:val="0"/>
          <w:color w:val="2F5597"/>
          <w:sz w:val="24"/>
        </w:rPr>
        <w:t>Conclusion</w:t>
      </w:r>
    </w:p>
    <w:p w14:paraId="2531A480">
      <w:pPr>
        <w:spacing w:before="0" w:after="100" w:line="288" w:lineRule="auto"/>
        <w:jc w:val="both"/>
      </w:pPr>
      <w:r>
        <w:rPr>
          <w:rFonts w:ascii="Times New Roman" w:hAnsi="Times New Roman" w:eastAsia="Noto Serif CJK SC"/>
          <w:b w:val="0"/>
          <w:i w:val="0"/>
          <w:sz w:val="22"/>
        </w:rPr>
        <w:t>The best treatment is neither deletion nor direct promotion. The correct place is the transition/comparison-model layer: this preserves its mathematical value while protecting the background-free discipline of the new master outline.</w:t>
      </w:r>
    </w:p>
    <w:sectPr>
      <w:head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B99EE">
    <w:pPr>
      <w:pStyle w:val="25"/>
      <w:jc w:val="right"/>
    </w:pPr>
    <w:r>
      <w:rPr>
        <w:rFonts w:ascii="Times New Roman" w:hAnsi="Times New Roman" w:eastAsia="Noto Serif CJK SC"/>
        <w:color w:val="556688"/>
        <w:sz w:val="18"/>
      </w:rPr>
      <w:t>BNCFT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88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CN"/>
    <w:uiPriority w:val="0"/>
    <w:pPr>
      <w:spacing w:after="200" w:line="276" w:lineRule="auto"/>
    </w:pPr>
    <w:rPr>
      <w:rFonts w:ascii="Times New Roman" w:hAnsi="Times New Roman" w:eastAsia="Noto Serif CJK SC" w:cstheme="minorBidi"/>
      <w:b/>
      <w:sz w:val="40"/>
      <w:szCs w:val="22"/>
      <w:lang w:val="en-US" w:eastAsia="en-US" w:bidi="ar-SA"/>
    </w:rPr>
  </w:style>
  <w:style w:type="paragraph" w:customStyle="1" w:styleId="165">
    <w:name w:val="HeadingBlue"/>
    <w:uiPriority w:val="0"/>
    <w:pPr>
      <w:spacing w:after="200" w:line="276" w:lineRule="auto"/>
    </w:pPr>
    <w:rPr>
      <w:rFonts w:ascii="Times New Roman" w:hAnsi="Times New Roman" w:eastAsia="Noto Serif CJK SC" w:cstheme="minorBidi"/>
      <w:b/>
      <w:sz w:val="2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1002</Words>
  <Characters>1719</Characters>
  <Lines>0</Lines>
  <Paragraphs>0</Paragraphs>
  <TotalTime>0</TotalTime>
  <ScaleCrop>false</ScaleCrop>
  <LinksUpToDate>false</LinksUpToDate>
  <CharactersWithSpaces>1887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wuqiming</cp:lastModifiedBy>
  <dcterms:modified xsi:type="dcterms:W3CDTF">2026-04-18T05:41:28Z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55951884164042D6A60CD1848EFEF750_13</vt:lpwstr>
  </property>
</Properties>
</file>