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br/>
      </w:r>
      <w:r>
        <w:br/>
      </w:r>
      <w:r>
        <w:br/>
      </w:r>
      <w:r>
        <w:br/>
      </w:r>
      <w:r>
        <w:br/>
      </w:r>
    </w:p>
    <w:p>
      <w:pPr>
        <w:spacing w:before="0" w:after="200" w:line="264" w:lineRule="auto"/>
        <w:jc w:val="center"/>
      </w:pPr>
      <w:r>
        <w:rPr>
          <w:rFonts w:ascii="Noto Sans CJK SC" w:hAnsi="Noto Sans CJK SC" w:eastAsia="Noto Sans CJK SC" w:cs="Noto Sans CJK SC"/>
          <w:b/>
          <w:i w:val="0"/>
          <w:color w:val="1F4E79"/>
          <w:sz w:val="40"/>
        </w:rPr>
        <w:t>BNCFT 未证命题与最小施工清单</w:t>
      </w:r>
    </w:p>
    <w:p>
      <w:pPr>
        <w:spacing w:before="0" w:after="360" w:line="264" w:lineRule="auto"/>
        <w:jc w:val="center"/>
      </w:pPr>
      <w:r>
        <w:rPr>
          <w:rFonts w:ascii="Noto Sans CJK SC" w:hAnsi="Noto Sans CJK SC" w:eastAsia="Noto Sans CJK SC" w:cs="Noto Sans CJK SC"/>
          <w:b w:val="0"/>
          <w:i/>
          <w:color w:val="595959"/>
          <w:sz w:val="25"/>
        </w:rPr>
        <w:t>BNCFT Unproved Propositions and Minimum Construction List</w:t>
      </w:r>
    </w:p>
    <w:tbl>
      <w:tblPr>
        <w:tblW w:type="auto" w:w="0"/>
        <w:jc w:val="center"/>
        <w:tblLayout w:type="fixed"/>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4649"/>
        <w:gridCol w:w="4649"/>
      </w:tblGrid>
      <w:tr>
        <w:trPr/>
        <w:tc>
          <w:tcPr>
            <w:tcW w:type="dxa" w:w="2268"/>
            <w:tcMar>
              <w:top w:w="90" w:type="dxa"/>
              <w:start w:w="120" w:type="dxa"/>
              <w:bottom w:w="90" w:type="dxa"/>
              <w:end w:w="120" w:type="dxa"/>
            </w:tcMar>
            <w:vAlign w:val="center"/>
            <w:shd w:fill="EAF2F8"/>
          </w:tcPr>
          <w:p>
            <w:pPr>
              <w:spacing w:before="0" w:after="0" w:line="264" w:lineRule="auto"/>
            </w:pPr>
            <w:r>
              <w:rPr>
                <w:rFonts w:ascii="Noto Sans CJK SC" w:hAnsi="Noto Sans CJK SC" w:eastAsia="Noto Sans CJK SC" w:cs="Noto Sans CJK SC"/>
                <w:b/>
                <w:i w:val="0"/>
                <w:color w:val="1F4E79"/>
                <w:sz w:val="21"/>
              </w:rPr>
              <w:t>文档定位 / Purpose</w:t>
            </w:r>
          </w:p>
        </w:tc>
        <w:tc>
          <w:tcPr>
            <w:tcW w:type="dxa" w:w="5386"/>
            <w:tcMar>
              <w:top w:w="90" w:type="dxa"/>
              <w:start w:w="120" w:type="dxa"/>
              <w:bottom w:w="90" w:type="dxa"/>
              <w:end w:w="120" w:type="dxa"/>
            </w:tcMar>
            <w:vAlign w:val="center"/>
          </w:tcPr>
          <w:p>
            <w:pPr>
              <w:spacing w:before="0" w:after="0" w:line="264" w:lineRule="auto"/>
            </w:pPr>
            <w:r>
              <w:rPr>
                <w:rFonts w:ascii="Noto Serif CJK SC" w:hAnsi="Noto Serif CJK SC" w:eastAsia="Noto Serif CJK SC" w:cs="Noto Serif CJK SC"/>
                <w:b w:val="0"/>
                <w:i w:val="0"/>
                <w:sz w:val="21"/>
              </w:rPr>
              <w:t>治理文档：列明未完成命题、最小任务、过线标准与回退依据 / Governance document for unfinished propositions</w:t>
            </w:r>
          </w:p>
        </w:tc>
      </w:tr>
      <w:tr>
        <w:trPr/>
        <w:tc>
          <w:tcPr>
            <w:tcW w:type="dxa" w:w="2268"/>
            <w:tcMar>
              <w:top w:w="90" w:type="dxa"/>
              <w:start w:w="120" w:type="dxa"/>
              <w:bottom w:w="90" w:type="dxa"/>
              <w:end w:w="120" w:type="dxa"/>
            </w:tcMar>
            <w:vAlign w:val="center"/>
            <w:shd w:fill="EAF2F8"/>
          </w:tcPr>
          <w:p>
            <w:pPr>
              <w:spacing w:before="0" w:after="0" w:line="264" w:lineRule="auto"/>
            </w:pPr>
            <w:r>
              <w:rPr>
                <w:rFonts w:ascii="Noto Sans CJK SC" w:hAnsi="Noto Sans CJK SC" w:eastAsia="Noto Sans CJK SC" w:cs="Noto Sans CJK SC"/>
                <w:b/>
                <w:i w:val="0"/>
                <w:color w:val="1F4E79"/>
                <w:sz w:val="21"/>
              </w:rPr>
              <w:t>作者 / Author</w:t>
            </w:r>
          </w:p>
        </w:tc>
        <w:tc>
          <w:tcPr>
            <w:tcW w:type="dxa" w:w="5386"/>
            <w:tcMar>
              <w:top w:w="90" w:type="dxa"/>
              <w:start w:w="120" w:type="dxa"/>
              <w:bottom w:w="90" w:type="dxa"/>
              <w:end w:w="120" w:type="dxa"/>
            </w:tcMar>
            <w:vAlign w:val="center"/>
          </w:tcPr>
          <w:p>
            <w:pPr>
              <w:spacing w:before="0" w:after="0" w:line="264" w:lineRule="auto"/>
            </w:pPr>
            <w:r>
              <w:rPr>
                <w:rFonts w:ascii="Noto Serif CJK SC" w:hAnsi="Noto Serif CJK SC" w:eastAsia="Noto Serif CJK SC" w:cs="Noto Serif CJK SC"/>
                <w:b w:val="0"/>
                <w:i w:val="0"/>
                <w:sz w:val="21"/>
              </w:rPr>
              <w:t>吴启明    467274520@qq.com</w:t>
            </w:r>
          </w:p>
        </w:tc>
      </w:tr>
      <w:tr>
        <w:trPr/>
        <w:tc>
          <w:tcPr>
            <w:tcW w:type="dxa" w:w="2268"/>
            <w:tcMar>
              <w:top w:w="90" w:type="dxa"/>
              <w:start w:w="120" w:type="dxa"/>
              <w:bottom w:w="90" w:type="dxa"/>
              <w:end w:w="120" w:type="dxa"/>
            </w:tcMar>
            <w:vAlign w:val="center"/>
            <w:shd w:fill="EAF2F8"/>
          </w:tcPr>
          <w:p>
            <w:pPr>
              <w:spacing w:before="0" w:after="0" w:line="264" w:lineRule="auto"/>
            </w:pPr>
            <w:r>
              <w:rPr>
                <w:rFonts w:ascii="Noto Sans CJK SC" w:hAnsi="Noto Sans CJK SC" w:eastAsia="Noto Sans CJK SC" w:cs="Noto Sans CJK SC"/>
                <w:b/>
                <w:i w:val="0"/>
                <w:color w:val="1F4E79"/>
                <w:sz w:val="21"/>
              </w:rPr>
              <w:t>版本 / Version</w:t>
            </w:r>
          </w:p>
        </w:tc>
        <w:tc>
          <w:tcPr>
            <w:tcW w:type="dxa" w:w="5386"/>
            <w:tcMar>
              <w:top w:w="90" w:type="dxa"/>
              <w:start w:w="120" w:type="dxa"/>
              <w:bottom w:w="90" w:type="dxa"/>
              <w:end w:w="120" w:type="dxa"/>
            </w:tcMar>
            <w:vAlign w:val="center"/>
          </w:tcPr>
          <w:p>
            <w:pPr>
              <w:spacing w:before="0" w:after="0" w:line="264" w:lineRule="auto"/>
            </w:pPr>
            <w:r>
              <w:rPr>
                <w:rFonts w:ascii="Noto Serif CJK SC" w:hAnsi="Noto Serif CJK SC" w:eastAsia="Noto Serif CJK SC" w:cs="Noto Serif CJK SC"/>
                <w:b w:val="0"/>
                <w:i w:val="0"/>
                <w:sz w:val="21"/>
              </w:rPr>
              <w:t>V1</w:t>
            </w:r>
          </w:p>
        </w:tc>
      </w:tr>
      <w:tr>
        <w:trPr/>
        <w:tc>
          <w:tcPr>
            <w:tcW w:type="dxa" w:w="2268"/>
            <w:tcMar>
              <w:top w:w="90" w:type="dxa"/>
              <w:start w:w="120" w:type="dxa"/>
              <w:bottom w:w="90" w:type="dxa"/>
              <w:end w:w="120" w:type="dxa"/>
            </w:tcMar>
            <w:vAlign w:val="center"/>
            <w:shd w:fill="EAF2F8"/>
          </w:tcPr>
          <w:p>
            <w:pPr>
              <w:spacing w:before="0" w:after="0" w:line="264" w:lineRule="auto"/>
            </w:pPr>
            <w:r>
              <w:rPr>
                <w:rFonts w:ascii="Noto Sans CJK SC" w:hAnsi="Noto Sans CJK SC" w:eastAsia="Noto Sans CJK SC" w:cs="Noto Sans CJK SC"/>
                <w:b/>
                <w:i w:val="0"/>
                <w:color w:val="1F4E79"/>
                <w:sz w:val="21"/>
              </w:rPr>
              <w:t>日期 / Date</w:t>
            </w:r>
          </w:p>
        </w:tc>
        <w:tc>
          <w:tcPr>
            <w:tcW w:type="dxa" w:w="5386"/>
            <w:tcMar>
              <w:top w:w="90" w:type="dxa"/>
              <w:start w:w="120" w:type="dxa"/>
              <w:bottom w:w="90" w:type="dxa"/>
              <w:end w:w="120" w:type="dxa"/>
            </w:tcMar>
            <w:vAlign w:val="center"/>
          </w:tcPr>
          <w:p>
            <w:pPr>
              <w:spacing w:before="0" w:after="0" w:line="264" w:lineRule="auto"/>
            </w:pPr>
            <w:r>
              <w:rPr>
                <w:rFonts w:ascii="Noto Serif CJK SC" w:hAnsi="Noto Serif CJK SC" w:eastAsia="Noto Serif CJK SC" w:cs="Noto Serif CJK SC"/>
                <w:b w:val="0"/>
                <w:i w:val="0"/>
                <w:sz w:val="21"/>
              </w:rPr>
              <w:t>2026-04-20</w:t>
            </w:r>
          </w:p>
        </w:tc>
      </w:tr>
    </w:tbl>
    <w:p>
      <w:pPr>
        <w:spacing w:before="360" w:after="0" w:line="324" w:lineRule="auto"/>
        <w:jc w:val="center"/>
      </w:pPr>
      <w:r>
        <w:rPr>
          <w:rFonts w:ascii="Noto Sans CJK SC" w:hAnsi="Noto Sans CJK SC" w:eastAsia="Noto Sans CJK SC" w:cs="Noto Sans CJK SC"/>
          <w:b w:val="0"/>
          <w:i w:val="0"/>
          <w:color w:val="595959"/>
          <w:sz w:val="22"/>
        </w:rPr>
        <w:t>无背景非线性共享场理论（BNCFT）正式文档包</w:t>
      </w:r>
    </w:p>
    <w:p>
      <w:r>
        <w:br w:type="page"/>
      </w:r>
    </w:p>
    <w:p>
      <w:pPr>
        <w:pStyle w:val="BNCFTHeading1"/>
        <w:spacing w:before="160" w:after="120" w:line="276" w:lineRule="auto"/>
        <w:jc w:val="left"/>
      </w:pPr>
      <w:r>
        <w:rPr>
          <w:rFonts w:ascii="Noto Sans CJK SC" w:hAnsi="Noto Sans CJK SC" w:eastAsia="Noto Sans CJK SC" w:cs="Noto Sans CJK SC"/>
          <w:b/>
          <w:i w:val="0"/>
          <w:color w:val="1F4E79"/>
          <w:sz w:val="30"/>
        </w:rPr>
        <w:t>一、清单功能</w:t>
      </w:r>
    </w:p>
    <w:p>
      <w:pPr>
        <w:pStyle w:val="BNCFTBody"/>
        <w:spacing w:before="0" w:after="120" w:line="348" w:lineRule="auto"/>
        <w:ind w:firstLine="420"/>
        <w:jc w:val="both"/>
      </w:pPr>
      <w:r>
        <w:rPr>
          <w:rFonts w:ascii="Noto Serif CJK SC" w:hAnsi="Noto Serif CJK SC" w:eastAsia="Noto Serif CJK SC" w:cs="Noto Serif CJK SC"/>
          <w:b w:val="0"/>
          <w:i w:val="0"/>
          <w:sz w:val="22"/>
        </w:rPr>
        <w:t>这份清单不是为了渲染“理论尚未完成”的焦虑，而是为了防止文稿在不同层级之间串线。凡是尚未完成严格推导、数值演示或外部核验的命题，都必须被显式列出，并给出最小施工任务、过线标准、归属编次与优先级。</w:t>
      </w:r>
    </w:p>
    <w:p>
      <w:pPr>
        <w:pStyle w:val="BNCFTBody"/>
        <w:spacing w:before="0" w:after="120" w:line="348" w:lineRule="auto"/>
        <w:ind w:firstLine="420"/>
        <w:jc w:val="both"/>
      </w:pPr>
      <w:r>
        <w:rPr>
          <w:rFonts w:ascii="Noto Serif CJK SC" w:hAnsi="Noto Serif CJK SC" w:eastAsia="Noto Serif CJK SC" w:cs="Noto Serif CJK SC"/>
          <w:b w:val="0"/>
          <w:i w:val="0"/>
          <w:sz w:val="22"/>
        </w:rPr>
        <w:t>它的治理功能有三项：第一，阻止接口稿越级宣称为证明稿；第二，为下一步施工分配明确入口；第三，在失败时提供回退依据，避免把某个暂时站不住的桥段拖累整条主线。</w:t>
      </w:r>
    </w:p>
    <w:p>
      <w:pPr>
        <w:pStyle w:val="BNCFTHeading2"/>
        <w:spacing w:before="80" w:after="120" w:line="276" w:lineRule="auto"/>
        <w:jc w:val="left"/>
      </w:pPr>
      <w:r>
        <w:rPr>
          <w:rFonts w:ascii="Noto Sans CJK SC" w:hAnsi="Noto Sans CJK SC" w:eastAsia="Noto Sans CJK SC" w:cs="Noto Sans CJK SC"/>
          <w:b/>
          <w:i w:val="0"/>
          <w:color w:val="1F4E79"/>
          <w:sz w:val="25"/>
        </w:rPr>
        <w:t>A 组：总地基与方法论</w:t>
      </w:r>
    </w:p>
    <w:p>
      <w:pPr>
        <w:pStyle w:val="BNCFTBody"/>
        <w:spacing w:before="0" w:after="120" w:line="348" w:lineRule="auto"/>
        <w:ind w:firstLine="420"/>
        <w:jc w:val="both"/>
      </w:pPr>
      <w:r>
        <w:rPr>
          <w:rFonts w:ascii="Noto Serif CJK SC" w:hAnsi="Noto Serif CJK SC" w:eastAsia="Noto Serif CJK SC" w:cs="Noto Serif CJK SC"/>
          <w:b w:val="0"/>
          <w:i w:val="0"/>
          <w:sz w:val="22"/>
        </w:rPr>
        <w:t>P1–P3 主要解决共享场整体态、测量读出与统计模式三条最底层命题；它们决定第一编是否能从“问题意识”真正进入“理论骨架”。</w:t>
      </w:r>
    </w:p>
    <w:p>
      <w:pPr>
        <w:pStyle w:val="BNCFTBody"/>
        <w:spacing w:before="0" w:after="120" w:line="348" w:lineRule="auto"/>
        <w:ind w:firstLine="420"/>
        <w:jc w:val="both"/>
      </w:pPr>
      <w:r>
        <w:rPr>
          <w:rFonts w:ascii="Noto Serif CJK SC" w:hAnsi="Noto Serif CJK SC" w:eastAsia="Noto Serif CJK SC" w:cs="Noto Serif CJK SC"/>
          <w:b w:val="0"/>
          <w:i w:val="0"/>
          <w:sz w:val="22"/>
        </w:rPr>
        <w:t>若 A 组长时间停滞，则高能接口与扩展章节不得过度前推。</w:t>
      </w:r>
    </w:p>
    <w:p>
      <w:pPr>
        <w:pStyle w:val="BNCFTHeading2"/>
        <w:spacing w:before="80" w:after="120" w:line="276" w:lineRule="auto"/>
        <w:jc w:val="left"/>
      </w:pPr>
      <w:r>
        <w:rPr>
          <w:rFonts w:ascii="Noto Sans CJK SC" w:hAnsi="Noto Sans CJK SC" w:eastAsia="Noto Sans CJK SC" w:cs="Noto Sans CJK SC"/>
          <w:b/>
          <w:i w:val="0"/>
          <w:color w:val="1F4E79"/>
          <w:sz w:val="25"/>
        </w:rPr>
        <w:t>B 组：因果—几何—高能接口</w:t>
      </w:r>
    </w:p>
    <w:p>
      <w:pPr>
        <w:pStyle w:val="BNCFTBody"/>
        <w:spacing w:before="0" w:after="120" w:line="348" w:lineRule="auto"/>
        <w:ind w:firstLine="420"/>
        <w:jc w:val="both"/>
      </w:pPr>
      <w:r>
        <w:rPr>
          <w:rFonts w:ascii="Noto Serif CJK SC" w:hAnsi="Noto Serif CJK SC" w:eastAsia="Noto Serif CJK SC" w:cs="Noto Serif CJK SC"/>
          <w:b w:val="0"/>
          <w:i w:val="0"/>
          <w:sz w:val="22"/>
        </w:rPr>
        <w:t>P4–P9 负责把第二编、第三编与第四编连成一条连续施工链。这里最忌讳的是前面因果与几何基础尚未稳定，后面却提前把 6 维内部几何或弦样对象写成定论。</w:t>
      </w:r>
    </w:p>
    <w:p>
      <w:pPr>
        <w:pStyle w:val="BNCFTBody"/>
        <w:spacing w:before="0" w:after="120" w:line="348" w:lineRule="auto"/>
        <w:ind w:firstLine="420"/>
        <w:jc w:val="both"/>
      </w:pPr>
      <w:r>
        <w:rPr>
          <w:rFonts w:ascii="Noto Serif CJK SC" w:hAnsi="Noto Serif CJK SC" w:eastAsia="Noto Serif CJK SC" w:cs="Noto Serif CJK SC"/>
          <w:b w:val="0"/>
          <w:i w:val="0"/>
          <w:sz w:val="22"/>
        </w:rPr>
        <w:t>因此，B 组命题全部要求‘桥梁明确、边界明确、不过度宣称’。</w:t>
      </w:r>
    </w:p>
    <w:p>
      <w:pPr>
        <w:pStyle w:val="BNCFTHeading2"/>
        <w:spacing w:before="80" w:after="120" w:line="276" w:lineRule="auto"/>
        <w:jc w:val="left"/>
      </w:pPr>
      <w:r>
        <w:rPr>
          <w:rFonts w:ascii="Noto Sans CJK SC" w:hAnsi="Noto Sans CJK SC" w:eastAsia="Noto Sans CJK SC" w:cs="Noto Sans CJK SC"/>
          <w:b/>
          <w:i w:val="0"/>
          <w:color w:val="1F4E79"/>
          <w:sz w:val="25"/>
        </w:rPr>
        <w:t>C 组：扩展与外部核验</w:t>
      </w:r>
    </w:p>
    <w:p>
      <w:pPr>
        <w:pStyle w:val="BNCFTBody"/>
        <w:spacing w:before="0" w:after="120" w:line="348" w:lineRule="auto"/>
        <w:ind w:firstLine="420"/>
        <w:jc w:val="both"/>
      </w:pPr>
      <w:r>
        <w:rPr>
          <w:rFonts w:ascii="Noto Serif CJK SC" w:hAnsi="Noto Serif CJK SC" w:eastAsia="Noto Serif CJK SC" w:cs="Noto Serif CJK SC"/>
          <w:b w:val="0"/>
          <w:i w:val="0"/>
          <w:sz w:val="22"/>
        </w:rPr>
        <w:t>P10–P12 属于增强与外部核验层。它们不应抢夺总地基的位置，但必须作为能否继续推进第四编与实验附章的分流器。</w:t>
      </w:r>
    </w:p>
    <w:p>
      <w:pPr>
        <w:pStyle w:val="BNCFTBody"/>
        <w:spacing w:before="0" w:after="120" w:line="348" w:lineRule="auto"/>
        <w:ind w:firstLine="420"/>
        <w:jc w:val="both"/>
      </w:pPr>
      <w:r>
        <w:rPr>
          <w:rFonts w:ascii="Noto Serif CJK SC" w:hAnsi="Noto Serif CJK SC" w:eastAsia="Noto Serif CJK SC" w:cs="Noto Serif CJK SC"/>
          <w:b w:val="0"/>
          <w:i w:val="0"/>
          <w:sz w:val="22"/>
        </w:rPr>
        <w:t>若 C 组某项失败，不意味着总理论主轴立刻失效；但意味着相应扩展口径必须降级或回退。</w:t>
      </w:r>
    </w:p>
    <w:p>
      <w:pPr>
        <w:pStyle w:val="BNCFTHeading1"/>
        <w:spacing w:before="160" w:after="120" w:line="276" w:lineRule="auto"/>
        <w:jc w:val="left"/>
      </w:pPr>
      <w:r>
        <w:rPr>
          <w:rFonts w:ascii="Noto Sans CJK SC" w:hAnsi="Noto Sans CJK SC" w:eastAsia="Noto Sans CJK SC" w:cs="Noto Sans CJK SC"/>
          <w:b/>
          <w:i w:val="0"/>
          <w:color w:val="1F4E79"/>
          <w:sz w:val="30"/>
        </w:rPr>
        <w:t>二、主清单</w:t>
      </w:r>
    </w:p>
    <w:p>
      <w:pPr>
        <w:pStyle w:val="BNCFTBody"/>
        <w:spacing w:before="0" w:after="120" w:line="348" w:lineRule="auto"/>
        <w:ind w:firstLine="0"/>
        <w:jc w:val="both"/>
      </w:pPr>
      <w:r>
        <w:rPr>
          <w:rFonts w:ascii="Noto Serif CJK SC" w:hAnsi="Noto Serif CJK SC" w:eastAsia="Noto Serif CJK SC" w:cs="Noto Serif CJK SC"/>
          <w:b w:val="0"/>
          <w:i w:val="0"/>
          <w:sz w:val="22"/>
        </w:rPr>
        <w:t>下表按‘命题—当前状态—最小任务—过线标准—归属编次—优先级’组织。优先级 A 表示直接影响主地基或第四编当前并入；B 表示强相关但可在主线稳定后继续推进。</w:t>
      </w:r>
    </w:p>
    <w:p>
      <w:pPr>
        <w:sectPr>
          <w:headerReference w:type="default" r:id="rId9"/>
          <w:footerReference w:type="default" r:id="rId10"/>
          <w:pgSz w:w="11906" w:h="16838"/>
          <w:pgMar w:top="1247" w:right="1247" w:bottom="1134" w:left="1361" w:header="567" w:footer="567" w:gutter="0"/>
          <w:cols w:space="720"/>
          <w:docGrid w:linePitch="360"/>
        </w:sectPr>
      </w:pPr>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130"/>
        <w:gridCol w:w="2130"/>
        <w:gridCol w:w="2130"/>
        <w:gridCol w:w="2130"/>
        <w:gridCol w:w="2130"/>
        <w:gridCol w:w="2130"/>
        <w:gridCol w:w="2130"/>
      </w:tblGrid>
      <w:tr>
        <w:tc>
          <w:tcPr>
            <w:tcW w:type="dxa" w:w="680"/>
            <w:shd w:fill="EAF2F8"/>
            <w:vAlign w:val="center"/>
            <w:tcMar>
              <w:top w:w="90" w:type="dxa"/>
              <w:start w:w="100" w:type="dxa"/>
              <w:bottom w:w="90" w:type="dxa"/>
              <w:end w:w="100" w:type="dxa"/>
            </w:tcMar>
          </w:tcPr>
          <w:p>
            <w:pPr>
              <w:spacing w:before="0" w:after="0" w:line="264" w:lineRule="auto"/>
              <w:jc w:val="center"/>
            </w:pPr>
            <w:r>
              <w:rPr>
                <w:rFonts w:ascii="Noto Sans CJK SC" w:hAnsi="Noto Sans CJK SC" w:eastAsia="Noto Sans CJK SC" w:cs="Noto Sans CJK SC"/>
                <w:b/>
                <w:i w:val="0"/>
                <w:color w:val="1F4E79"/>
                <w:sz w:val="19"/>
              </w:rPr>
              <w:t>编号</w:t>
            </w:r>
          </w:p>
        </w:tc>
        <w:tc>
          <w:tcPr>
            <w:tcW w:type="dxa" w:w="3572"/>
            <w:shd w:fill="EAF2F8"/>
            <w:vAlign w:val="center"/>
            <w:tcMar>
              <w:top w:w="90" w:type="dxa"/>
              <w:start w:w="100" w:type="dxa"/>
              <w:bottom w:w="90" w:type="dxa"/>
              <w:end w:w="100" w:type="dxa"/>
            </w:tcMar>
          </w:tcPr>
          <w:p>
            <w:pPr>
              <w:spacing w:before="0" w:after="0" w:line="264" w:lineRule="auto"/>
              <w:jc w:val="center"/>
            </w:pPr>
            <w:r>
              <w:rPr>
                <w:rFonts w:ascii="Noto Sans CJK SC" w:hAnsi="Noto Sans CJK SC" w:eastAsia="Noto Sans CJK SC" w:cs="Noto Sans CJK SC"/>
                <w:b/>
                <w:i w:val="0"/>
                <w:color w:val="1F4E79"/>
                <w:sz w:val="19"/>
              </w:rPr>
              <w:t>命题</w:t>
            </w:r>
          </w:p>
        </w:tc>
        <w:tc>
          <w:tcPr>
            <w:tcW w:type="dxa" w:w="1020"/>
            <w:shd w:fill="EAF2F8"/>
            <w:vAlign w:val="center"/>
            <w:tcMar>
              <w:top w:w="90" w:type="dxa"/>
              <w:start w:w="100" w:type="dxa"/>
              <w:bottom w:w="90" w:type="dxa"/>
              <w:end w:w="100" w:type="dxa"/>
            </w:tcMar>
          </w:tcPr>
          <w:p>
            <w:pPr>
              <w:spacing w:before="0" w:after="0" w:line="264" w:lineRule="auto"/>
              <w:jc w:val="center"/>
            </w:pPr>
            <w:r>
              <w:rPr>
                <w:rFonts w:ascii="Noto Sans CJK SC" w:hAnsi="Noto Sans CJK SC" w:eastAsia="Noto Sans CJK SC" w:cs="Noto Sans CJK SC"/>
                <w:b/>
                <w:i w:val="0"/>
                <w:color w:val="1F4E79"/>
                <w:sz w:val="19"/>
              </w:rPr>
              <w:t>状态</w:t>
            </w:r>
          </w:p>
        </w:tc>
        <w:tc>
          <w:tcPr>
            <w:tcW w:type="dxa" w:w="3118"/>
            <w:shd w:fill="EAF2F8"/>
            <w:vAlign w:val="center"/>
            <w:tcMar>
              <w:top w:w="90" w:type="dxa"/>
              <w:start w:w="100" w:type="dxa"/>
              <w:bottom w:w="90" w:type="dxa"/>
              <w:end w:w="100" w:type="dxa"/>
            </w:tcMar>
          </w:tcPr>
          <w:p>
            <w:pPr>
              <w:spacing w:before="0" w:after="0" w:line="264" w:lineRule="auto"/>
              <w:jc w:val="center"/>
            </w:pPr>
            <w:r>
              <w:rPr>
                <w:rFonts w:ascii="Noto Sans CJK SC" w:hAnsi="Noto Sans CJK SC" w:eastAsia="Noto Sans CJK SC" w:cs="Noto Sans CJK SC"/>
                <w:b/>
                <w:i w:val="0"/>
                <w:color w:val="1F4E79"/>
                <w:sz w:val="19"/>
              </w:rPr>
              <w:t>最小施工任务</w:t>
            </w:r>
          </w:p>
        </w:tc>
        <w:tc>
          <w:tcPr>
            <w:tcW w:type="dxa" w:w="3005"/>
            <w:shd w:fill="EAF2F8"/>
            <w:vAlign w:val="center"/>
            <w:tcMar>
              <w:top w:w="90" w:type="dxa"/>
              <w:start w:w="100" w:type="dxa"/>
              <w:bottom w:w="90" w:type="dxa"/>
              <w:end w:w="100" w:type="dxa"/>
            </w:tcMar>
          </w:tcPr>
          <w:p>
            <w:pPr>
              <w:spacing w:before="0" w:after="0" w:line="264" w:lineRule="auto"/>
              <w:jc w:val="center"/>
            </w:pPr>
            <w:r>
              <w:rPr>
                <w:rFonts w:ascii="Noto Sans CJK SC" w:hAnsi="Noto Sans CJK SC" w:eastAsia="Noto Sans CJK SC" w:cs="Noto Sans CJK SC"/>
                <w:b/>
                <w:i w:val="0"/>
                <w:color w:val="1F4E79"/>
                <w:sz w:val="19"/>
              </w:rPr>
              <w:t>过线标准</w:t>
            </w:r>
          </w:p>
        </w:tc>
        <w:tc>
          <w:tcPr>
            <w:tcW w:type="dxa" w:w="1361"/>
            <w:shd w:fill="EAF2F8"/>
            <w:vAlign w:val="center"/>
            <w:tcMar>
              <w:top w:w="90" w:type="dxa"/>
              <w:start w:w="100" w:type="dxa"/>
              <w:bottom w:w="90" w:type="dxa"/>
              <w:end w:w="100" w:type="dxa"/>
            </w:tcMar>
          </w:tcPr>
          <w:p>
            <w:pPr>
              <w:spacing w:before="0" w:after="0" w:line="264" w:lineRule="auto"/>
              <w:jc w:val="center"/>
            </w:pPr>
            <w:r>
              <w:rPr>
                <w:rFonts w:ascii="Noto Sans CJK SC" w:hAnsi="Noto Sans CJK SC" w:eastAsia="Noto Sans CJK SC" w:cs="Noto Sans CJK SC"/>
                <w:b/>
                <w:i w:val="0"/>
                <w:color w:val="1F4E79"/>
                <w:sz w:val="19"/>
              </w:rPr>
              <w:t>归属</w:t>
            </w:r>
          </w:p>
        </w:tc>
        <w:tc>
          <w:tcPr>
            <w:tcW w:type="dxa" w:w="907"/>
            <w:shd w:fill="EAF2F8"/>
            <w:vAlign w:val="center"/>
            <w:tcMar>
              <w:top w:w="90" w:type="dxa"/>
              <w:start w:w="100" w:type="dxa"/>
              <w:bottom w:w="90" w:type="dxa"/>
              <w:end w:w="100" w:type="dxa"/>
            </w:tcMar>
          </w:tcPr>
          <w:p>
            <w:pPr>
              <w:spacing w:before="0" w:after="0" w:line="264" w:lineRule="auto"/>
              <w:jc w:val="center"/>
            </w:pPr>
            <w:r>
              <w:rPr>
                <w:rFonts w:ascii="Noto Sans CJK SC" w:hAnsi="Noto Sans CJK SC" w:eastAsia="Noto Sans CJK SC" w:cs="Noto Sans CJK SC"/>
                <w:b/>
                <w:i w:val="0"/>
                <w:color w:val="1F4E79"/>
                <w:sz w:val="19"/>
              </w:rPr>
              <w:t>优先级</w:t>
            </w:r>
          </w:p>
        </w:tc>
      </w:tr>
      <w:tr>
        <w:tc>
          <w:tcPr>
            <w:tcW w:type="dxa" w:w="680"/>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7"/>
              </w:rPr>
              <w:t>P1</w:t>
            </w:r>
          </w:p>
        </w:tc>
        <w:tc>
          <w:tcPr>
            <w:tcW w:type="dxa" w:w="3572"/>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共享场整体态如何推出 Bell 联合概率结构与无信号边际</w:t>
            </w:r>
          </w:p>
        </w:tc>
        <w:tc>
          <w:tcPr>
            <w:tcW w:type="dxa" w:w="1020"/>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未完成</w:t>
            </w:r>
          </w:p>
        </w:tc>
        <w:tc>
          <w:tcPr>
            <w:tcW w:type="dxa" w:w="3118"/>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给出最小概率泛函模型与边际守恒条件</w:t>
            </w:r>
          </w:p>
        </w:tc>
        <w:tc>
          <w:tcPr>
            <w:tcW w:type="dxa" w:w="3005"/>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可在一个最小双端读出模型上同时复现 Bell 关联与无信号</w:t>
            </w:r>
          </w:p>
        </w:tc>
        <w:tc>
          <w:tcPr>
            <w:tcW w:type="dxa" w:w="136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第一编/实验附章</w:t>
            </w:r>
          </w:p>
        </w:tc>
        <w:tc>
          <w:tcPr>
            <w:tcW w:type="dxa" w:w="907"/>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A</w:t>
            </w:r>
          </w:p>
        </w:tc>
      </w:tr>
      <w:tr>
        <w:tc>
          <w:tcPr>
            <w:tcW w:type="dxa" w:w="680"/>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7"/>
              </w:rPr>
              <w:t>P2</w:t>
            </w:r>
          </w:p>
        </w:tc>
        <w:tc>
          <w:tcPr>
            <w:tcW w:type="dxa" w:w="3572"/>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测量读出是否可由非线性稳定选择解释</w:t>
            </w:r>
          </w:p>
        </w:tc>
        <w:tc>
          <w:tcPr>
            <w:tcW w:type="dxa" w:w="1020"/>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未完成</w:t>
            </w:r>
          </w:p>
        </w:tc>
        <w:tc>
          <w:tcPr>
            <w:tcW w:type="dxa" w:w="3118"/>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构造场—装置耦合读出模型与稳定吸引域</w:t>
            </w:r>
          </w:p>
        </w:tc>
        <w:tc>
          <w:tcPr>
            <w:tcW w:type="dxa" w:w="3005"/>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能区分可重复读出与不稳定瞬态</w:t>
            </w:r>
          </w:p>
        </w:tc>
        <w:tc>
          <w:tcPr>
            <w:tcW w:type="dxa" w:w="136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第一编</w:t>
            </w:r>
          </w:p>
        </w:tc>
        <w:tc>
          <w:tcPr>
            <w:tcW w:type="dxa" w:w="907"/>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A</w:t>
            </w:r>
          </w:p>
        </w:tc>
      </w:tr>
      <w:tr>
        <w:tc>
          <w:tcPr>
            <w:tcW w:type="dxa" w:w="680"/>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7"/>
              </w:rPr>
              <w:t>P3</w:t>
            </w:r>
          </w:p>
        </w:tc>
        <w:tc>
          <w:tcPr>
            <w:tcW w:type="dxa" w:w="3572"/>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全同粒子统计能否改写为共享场激发模式性质</w:t>
            </w:r>
          </w:p>
        </w:tc>
        <w:tc>
          <w:tcPr>
            <w:tcW w:type="dxa" w:w="1020"/>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未完成</w:t>
            </w:r>
          </w:p>
        </w:tc>
        <w:tc>
          <w:tcPr>
            <w:tcW w:type="dxa" w:w="3118"/>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给出模式标签、交换操作与统计结果对应</w:t>
            </w:r>
          </w:p>
        </w:tc>
        <w:tc>
          <w:tcPr>
            <w:tcW w:type="dxa" w:w="3005"/>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至少在简化模型上重现玻色/费米统计</w:t>
            </w:r>
          </w:p>
        </w:tc>
        <w:tc>
          <w:tcPr>
            <w:tcW w:type="dxa" w:w="136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第一编</w:t>
            </w:r>
          </w:p>
        </w:tc>
        <w:tc>
          <w:tcPr>
            <w:tcW w:type="dxa" w:w="907"/>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B</w:t>
            </w:r>
          </w:p>
        </w:tc>
      </w:tr>
      <w:tr>
        <w:tc>
          <w:tcPr>
            <w:tcW w:type="dxa" w:w="680"/>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7"/>
              </w:rPr>
              <w:t>P4</w:t>
            </w:r>
          </w:p>
        </w:tc>
        <w:tc>
          <w:tcPr>
            <w:tcW w:type="dxa" w:w="3572"/>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无背景更新序如何推出因果序与有效时间</w:t>
            </w:r>
          </w:p>
        </w:tc>
        <w:tc>
          <w:tcPr>
            <w:tcW w:type="dxa" w:w="1020"/>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部分完成</w:t>
            </w:r>
          </w:p>
        </w:tc>
        <w:tc>
          <w:tcPr>
            <w:tcW w:type="dxa" w:w="3118"/>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把更新规则、因果偏序与切片定义统一重述</w:t>
            </w:r>
          </w:p>
        </w:tc>
        <w:tc>
          <w:tcPr>
            <w:tcW w:type="dxa" w:w="3005"/>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不存在偷用先验时间的循环定义</w:t>
            </w:r>
          </w:p>
        </w:tc>
        <w:tc>
          <w:tcPr>
            <w:tcW w:type="dxa" w:w="136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第二编</w:t>
            </w:r>
          </w:p>
        </w:tc>
        <w:tc>
          <w:tcPr>
            <w:tcW w:type="dxa" w:w="907"/>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A</w:t>
            </w:r>
          </w:p>
        </w:tc>
      </w:tr>
      <w:tr>
        <w:tc>
          <w:tcPr>
            <w:tcW w:type="dxa" w:w="680"/>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7"/>
              </w:rPr>
              <w:t>P5</w:t>
            </w:r>
          </w:p>
        </w:tc>
        <w:tc>
          <w:tcPr>
            <w:tcW w:type="dxa" w:w="3572"/>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离散几何量如何从共享场骨架与观测响应中涌现</w:t>
            </w:r>
          </w:p>
        </w:tc>
        <w:tc>
          <w:tcPr>
            <w:tcW w:type="dxa" w:w="1020"/>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部分完成</w:t>
            </w:r>
          </w:p>
        </w:tc>
        <w:tc>
          <w:tcPr>
            <w:tcW w:type="dxa" w:w="3118"/>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定义距离代理、体积增长率与曲率代理</w:t>
            </w:r>
          </w:p>
        </w:tc>
        <w:tc>
          <w:tcPr>
            <w:tcW w:type="dxa" w:w="3005"/>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能在数值样例中区分不同几何相区</w:t>
            </w:r>
          </w:p>
        </w:tc>
        <w:tc>
          <w:tcPr>
            <w:tcW w:type="dxa" w:w="136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第三编</w:t>
            </w:r>
          </w:p>
        </w:tc>
        <w:tc>
          <w:tcPr>
            <w:tcW w:type="dxa" w:w="907"/>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A</w:t>
            </w:r>
          </w:p>
        </w:tc>
      </w:tr>
      <w:tr>
        <w:tc>
          <w:tcPr>
            <w:tcW w:type="dxa" w:w="680"/>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7"/>
              </w:rPr>
              <w:t>P6</w:t>
            </w:r>
          </w:p>
        </w:tc>
        <w:tc>
          <w:tcPr>
            <w:tcW w:type="dxa" w:w="3572"/>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SU(4)/Spin(6) 只给出代数桥还是可进一步支持 6 维内部几何</w:t>
            </w:r>
          </w:p>
        </w:tc>
        <w:tc>
          <w:tcPr>
            <w:tcW w:type="dxa" w:w="1020"/>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未完成</w:t>
            </w:r>
          </w:p>
        </w:tc>
        <w:tc>
          <w:tcPr>
            <w:tcW w:type="dxa" w:w="3118"/>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建立有效表示重写与有限内部结构条件</w:t>
            </w:r>
          </w:p>
        </w:tc>
        <w:tc>
          <w:tcPr>
            <w:tcW w:type="dxa" w:w="3005"/>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明确“能给出什么/不能给出什么”</w:t>
            </w:r>
          </w:p>
        </w:tc>
        <w:tc>
          <w:tcPr>
            <w:tcW w:type="dxa" w:w="136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第四编</w:t>
            </w:r>
          </w:p>
        </w:tc>
        <w:tc>
          <w:tcPr>
            <w:tcW w:type="dxa" w:w="907"/>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B</w:t>
            </w:r>
          </w:p>
        </w:tc>
      </w:tr>
      <w:tr>
        <w:tc>
          <w:tcPr>
            <w:tcW w:type="dxa" w:w="680"/>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7"/>
              </w:rPr>
              <w:t>P7</w:t>
            </w:r>
          </w:p>
        </w:tc>
        <w:tc>
          <w:tcPr>
            <w:tcW w:type="dxa" w:w="3572"/>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弦样对象为何由 π1 主导而非畴壁/单极主导</w:t>
            </w:r>
          </w:p>
        </w:tc>
        <w:tc>
          <w:tcPr>
            <w:tcW w:type="dxa" w:w="1020"/>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未完成</w:t>
            </w:r>
          </w:p>
        </w:tc>
        <w:tc>
          <w:tcPr>
            <w:tcW w:type="dxa" w:w="3118"/>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给出真空流形、同伦群与竞争抑制分析</w:t>
            </w:r>
          </w:p>
        </w:tc>
        <w:tc>
          <w:tcPr>
            <w:tcW w:type="dxa" w:w="3005"/>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至少出现一个 π1 主导的一维缺陷样例</w:t>
            </w:r>
          </w:p>
        </w:tc>
        <w:tc>
          <w:tcPr>
            <w:tcW w:type="dxa" w:w="136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第四编</w:t>
            </w:r>
          </w:p>
        </w:tc>
        <w:tc>
          <w:tcPr>
            <w:tcW w:type="dxa" w:w="907"/>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A</w:t>
            </w:r>
          </w:p>
        </w:tc>
      </w:tr>
      <w:tr>
        <w:tc>
          <w:tcPr>
            <w:tcW w:type="dxa" w:w="680"/>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7"/>
              </w:rPr>
              <w:t>P8</w:t>
            </w:r>
          </w:p>
        </w:tc>
        <w:tc>
          <w:tcPr>
            <w:tcW w:type="dxa" w:w="3572"/>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V(Φ,B;λ_i) 的候选类如何避免黑箱化</w:t>
            </w:r>
          </w:p>
        </w:tc>
        <w:tc>
          <w:tcPr>
            <w:tcW w:type="dxa" w:w="1020"/>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未完成</w:t>
            </w:r>
          </w:p>
        </w:tc>
        <w:tc>
          <w:tcPr>
            <w:tcW w:type="dxa" w:w="3118"/>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列出对称性、bounded-from-below、相结构与局域化约束</w:t>
            </w:r>
          </w:p>
        </w:tc>
        <w:tc>
          <w:tcPr>
            <w:tcW w:type="dxa" w:w="3005"/>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至少给出一类不病态的候选势能</w:t>
            </w:r>
          </w:p>
        </w:tc>
        <w:tc>
          <w:tcPr>
            <w:tcW w:type="dxa" w:w="136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第四编</w:t>
            </w:r>
          </w:p>
        </w:tc>
        <w:tc>
          <w:tcPr>
            <w:tcW w:type="dxa" w:w="907"/>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A</w:t>
            </w:r>
          </w:p>
        </w:tc>
      </w:tr>
      <w:tr>
        <w:tc>
          <w:tcPr>
            <w:tcW w:type="dxa" w:w="680"/>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7"/>
              </w:rPr>
              <w:t>P9</w:t>
            </w:r>
          </w:p>
        </w:tc>
        <w:tc>
          <w:tcPr>
            <w:tcW w:type="dxa" w:w="3572"/>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Pati–Salam/标准模型接口是否异常自由且不误杀低能物理</w:t>
            </w:r>
          </w:p>
        </w:tc>
        <w:tc>
          <w:tcPr>
            <w:tcW w:type="dxa" w:w="1020"/>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未完成</w:t>
            </w:r>
          </w:p>
        </w:tc>
        <w:tc>
          <w:tcPr>
            <w:tcW w:type="dxa" w:w="3118"/>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检查表示内容、破缺链与异常条件</w:t>
            </w:r>
          </w:p>
        </w:tc>
        <w:tc>
          <w:tcPr>
            <w:tcW w:type="dxa" w:w="3005"/>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给出一条不过线的最小接口链</w:t>
            </w:r>
          </w:p>
        </w:tc>
        <w:tc>
          <w:tcPr>
            <w:tcW w:type="dxa" w:w="136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第四编</w:t>
            </w:r>
          </w:p>
        </w:tc>
        <w:tc>
          <w:tcPr>
            <w:tcW w:type="dxa" w:w="907"/>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B</w:t>
            </w:r>
          </w:p>
        </w:tc>
      </w:tr>
      <w:tr>
        <w:tc>
          <w:tcPr>
            <w:tcW w:type="dxa" w:w="680"/>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7"/>
              </w:rPr>
              <w:t>P10</w:t>
            </w:r>
          </w:p>
        </w:tc>
        <w:tc>
          <w:tcPr>
            <w:tcW w:type="dxa" w:w="3572"/>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4+6+Xi_5 是否真正压缩景观，而非改名后仍然发散</w:t>
            </w:r>
          </w:p>
        </w:tc>
        <w:tc>
          <w:tcPr>
            <w:tcW w:type="dxa" w:w="1020"/>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未完成</w:t>
            </w:r>
          </w:p>
        </w:tc>
        <w:tc>
          <w:tcPr>
            <w:tcW w:type="dxa" w:w="3118"/>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在候选真空集上实施五锚筛选</w:t>
            </w:r>
          </w:p>
        </w:tc>
        <w:tc>
          <w:tcPr>
            <w:tcW w:type="dxa" w:w="3005"/>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筛选前后分支数量与可接受性有可比较结果</w:t>
            </w:r>
          </w:p>
        </w:tc>
        <w:tc>
          <w:tcPr>
            <w:tcW w:type="dxa" w:w="136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第四编/扩展附章</w:t>
            </w:r>
          </w:p>
        </w:tc>
        <w:tc>
          <w:tcPr>
            <w:tcW w:type="dxa" w:w="907"/>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A</w:t>
            </w:r>
          </w:p>
        </w:tc>
      </w:tr>
      <w:tr>
        <w:tc>
          <w:tcPr>
            <w:tcW w:type="dxa" w:w="680"/>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7"/>
              </w:rPr>
              <w:t>P11</w:t>
            </w:r>
          </w:p>
        </w:tc>
        <w:tc>
          <w:tcPr>
            <w:tcW w:type="dxa" w:w="3572"/>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ξ5 能否投影到非厄米拓扑材料与超导有效理论</w:t>
            </w:r>
          </w:p>
        </w:tc>
        <w:tc>
          <w:tcPr>
            <w:tcW w:type="dxa" w:w="1020"/>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未完成</w:t>
            </w:r>
          </w:p>
        </w:tc>
        <w:tc>
          <w:tcPr>
            <w:tcW w:type="dxa" w:w="3118"/>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在至少两个凝聚态模型上写出筛选规则</w:t>
            </w:r>
          </w:p>
        </w:tc>
        <w:tc>
          <w:tcPr>
            <w:tcW w:type="dxa" w:w="3005"/>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相较纯经验加项，解释力或约束力有可见提升</w:t>
            </w:r>
          </w:p>
        </w:tc>
        <w:tc>
          <w:tcPr>
            <w:tcW w:type="dxa" w:w="136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扩展附章</w:t>
            </w:r>
          </w:p>
        </w:tc>
        <w:tc>
          <w:tcPr>
            <w:tcW w:type="dxa" w:w="907"/>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B</w:t>
            </w:r>
          </w:p>
        </w:tc>
      </w:tr>
      <w:tr>
        <w:tc>
          <w:tcPr>
            <w:tcW w:type="dxa" w:w="680"/>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7"/>
              </w:rPr>
              <w:t>P12</w:t>
            </w:r>
          </w:p>
        </w:tc>
        <w:tc>
          <w:tcPr>
            <w:tcW w:type="dxa" w:w="3572"/>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实验精度高、理论分叉的案例能否被组织成外部核验主轴</w:t>
            </w:r>
          </w:p>
        </w:tc>
        <w:tc>
          <w:tcPr>
            <w:tcW w:type="dxa" w:w="1020"/>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部分完成</w:t>
            </w:r>
          </w:p>
        </w:tc>
        <w:tc>
          <w:tcPr>
            <w:tcW w:type="dxa" w:w="3118"/>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完成 muon g−2 / LHC 证据链整理与边界说明</w:t>
            </w:r>
          </w:p>
        </w:tc>
        <w:tc>
          <w:tcPr>
            <w:tcW w:type="dxa" w:w="3005"/>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论证口径稳，不夸大成“普遍严重对不上”</w:t>
            </w:r>
          </w:p>
        </w:tc>
        <w:tc>
          <w:tcPr>
            <w:tcW w:type="dxa" w:w="136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总纲/实验附章</w:t>
            </w:r>
          </w:p>
        </w:tc>
        <w:tc>
          <w:tcPr>
            <w:tcW w:type="dxa" w:w="907"/>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A</w:t>
            </w:r>
          </w:p>
        </w:tc>
      </w:tr>
    </w:tbl>
    <w:p>
      <w:pPr>
        <w:sectPr>
          <w:pgSz w:w="16838" w:h="11906" w:orient="landscape"/>
          <w:pgMar w:top="1020" w:right="964" w:bottom="1020" w:left="964" w:header="567" w:footer="567" w:gutter="0"/>
          <w:cols w:space="720"/>
          <w:docGrid w:linePitch="360"/>
        </w:sectPr>
      </w:pPr>
    </w:p>
    <w:p>
      <w:pPr>
        <w:pStyle w:val="BNCFTHeading1"/>
        <w:spacing w:before="160" w:after="120" w:line="276" w:lineRule="auto"/>
        <w:jc w:val="left"/>
      </w:pPr>
      <w:r>
        <w:rPr>
          <w:rFonts w:ascii="Noto Sans CJK SC" w:hAnsi="Noto Sans CJK SC" w:eastAsia="Noto Sans CJK SC" w:cs="Noto Sans CJK SC"/>
          <w:b/>
          <w:i w:val="0"/>
          <w:color w:val="1F4E79"/>
          <w:sz w:val="30"/>
        </w:rPr>
        <w:t>三、使用规则</w:t>
      </w:r>
    </w:p>
    <w:p>
      <w:pPr>
        <w:pStyle w:val="ListBullet"/>
        <w:spacing w:before="0" w:after="60" w:line="312" w:lineRule="auto"/>
        <w:ind w:left="170" w:firstLine="0"/>
        <w:jc w:val="left"/>
      </w:pPr>
      <w:r>
        <w:rPr>
          <w:rFonts w:ascii="Noto Serif CJK SC" w:hAnsi="Noto Serif CJK SC" w:eastAsia="Noto Serif CJK SC" w:cs="Noto Serif CJK SC"/>
          <w:b w:val="0"/>
          <w:i w:val="0"/>
          <w:sz w:val="22"/>
        </w:rPr>
        <w:t>任何接口稿若涉及上表中的未证命题，必须标明自己触及的是哪一条、完成到哪一步、尚欠哪一步。</w:t>
      </w:r>
    </w:p>
    <w:p>
      <w:pPr>
        <w:pStyle w:val="ListBullet"/>
        <w:spacing w:before="0" w:after="60" w:line="312" w:lineRule="auto"/>
        <w:ind w:left="170" w:firstLine="0"/>
        <w:jc w:val="left"/>
      </w:pPr>
      <w:r>
        <w:rPr>
          <w:rFonts w:ascii="Noto Serif CJK SC" w:hAnsi="Noto Serif CJK SC" w:eastAsia="Noto Serif CJK SC" w:cs="Noto Serif CJK SC"/>
          <w:b w:val="0"/>
          <w:i w:val="0"/>
          <w:sz w:val="22"/>
        </w:rPr>
        <w:t>一旦某条命题失败，应优先回退该命题所属桥段，而非让整个总纲一起失稳。</w:t>
      </w:r>
    </w:p>
    <w:p>
      <w:pPr>
        <w:pStyle w:val="ListBullet"/>
        <w:spacing w:before="0" w:after="60" w:line="312" w:lineRule="auto"/>
        <w:ind w:left="170" w:firstLine="0"/>
        <w:jc w:val="left"/>
      </w:pPr>
      <w:r>
        <w:rPr>
          <w:rFonts w:ascii="Noto Serif CJK SC" w:hAnsi="Noto Serif CJK SC" w:eastAsia="Noto Serif CJK SC" w:cs="Noto Serif CJK SC"/>
          <w:b w:val="0"/>
          <w:i w:val="0"/>
          <w:sz w:val="22"/>
        </w:rPr>
        <w:t>本清单应与状态总表联动更新；每完成一条命题，必须同时更新状态、归属文稿与版本号。</w:t>
      </w:r>
    </w:p>
    <w:p>
      <w:pPr>
        <w:pStyle w:val="BNCFTHeading1"/>
        <w:spacing w:before="160" w:after="120" w:line="276" w:lineRule="auto"/>
        <w:jc w:val="left"/>
      </w:pPr>
      <w:r>
        <w:rPr>
          <w:rFonts w:ascii="Noto Sans CJK SC" w:hAnsi="Noto Sans CJK SC" w:eastAsia="Noto Sans CJK SC" w:cs="Noto Sans CJK SC"/>
          <w:b/>
          <w:i w:val="0"/>
          <w:color w:val="1F4E79"/>
          <w:sz w:val="30"/>
        </w:rPr>
        <w:t>English Companion</w:t>
      </w:r>
    </w:p>
    <w:p>
      <w:pPr>
        <w:pStyle w:val="BNCFTBody"/>
        <w:spacing w:before="0" w:after="120" w:line="348" w:lineRule="auto"/>
        <w:ind w:firstLine="420"/>
        <w:jc w:val="both"/>
      </w:pPr>
      <w:r>
        <w:rPr>
          <w:rFonts w:ascii="Noto Serif CJK SC" w:hAnsi="Noto Serif CJK SC" w:eastAsia="Noto Serif CJK SC" w:cs="Noto Serif CJK SC"/>
          <w:b w:val="0"/>
          <w:i w:val="0"/>
          <w:sz w:val="22"/>
        </w:rPr>
        <w:t>This list is not designed to dramatise incompleteness; it is designed to prevent manuscript layers from crossing. Any proposition that has not yet been strictly derived, numerically demonstrated or externally checked must be listed explicitly together with its minimum construction task, pass criterion, destination volume and priority.</w:t>
      </w:r>
    </w:p>
    <w:p>
      <w:pPr>
        <w:pStyle w:val="BNCFTBody"/>
        <w:spacing w:before="0" w:after="120" w:line="348" w:lineRule="auto"/>
        <w:ind w:firstLine="420"/>
        <w:jc w:val="both"/>
      </w:pPr>
      <w:r>
        <w:rPr>
          <w:rFonts w:ascii="Noto Serif CJK SC" w:hAnsi="Noto Serif CJK SC" w:eastAsia="Noto Serif CJK SC" w:cs="Noto Serif CJK SC"/>
          <w:b w:val="0"/>
          <w:i w:val="0"/>
          <w:sz w:val="22"/>
        </w:rPr>
        <w:t>Its governance function is threefold: to stop interface manuscripts from being over-promoted into proof manuscripts; to assign clear entry points for the next stage of work; and to provide rollback grounds if one bridge temporarily fails, so that a weak passage does not drag down the whole backbone.</w:t>
      </w:r>
    </w:p>
    <w:p>
      <w:pPr>
        <w:pStyle w:val="BNCFTHeading2"/>
        <w:spacing w:before="80" w:after="120" w:line="276" w:lineRule="auto"/>
        <w:jc w:val="left"/>
      </w:pPr>
      <w:r>
        <w:rPr>
          <w:rFonts w:ascii="Noto Sans CJK SC" w:hAnsi="Noto Sans CJK SC" w:eastAsia="Noto Sans CJK SC" w:cs="Noto Sans CJK SC"/>
          <w:b/>
          <w:i w:val="0"/>
          <w:color w:val="1F4E79"/>
          <w:sz w:val="25"/>
        </w:rPr>
        <w:t>Group A: foundation and methodology</w:t>
      </w:r>
    </w:p>
    <w:p>
      <w:pPr>
        <w:pStyle w:val="BNCFTBody"/>
        <w:spacing w:before="0" w:after="120" w:line="348" w:lineRule="auto"/>
        <w:ind w:firstLine="420"/>
        <w:jc w:val="both"/>
      </w:pPr>
      <w:r>
        <w:rPr>
          <w:rFonts w:ascii="Noto Serif CJK SC" w:hAnsi="Noto Serif CJK SC" w:eastAsia="Noto Serif CJK SC" w:cs="Noto Serif CJK SC"/>
          <w:b w:val="0"/>
          <w:i w:val="0"/>
          <w:sz w:val="22"/>
        </w:rPr>
        <w:t>P1–P3 address the three lowest-level claims concerning the global common-field state, measurement readout and statistical modes. They determine whether Volume I can truly move from problem-awareness to theoretical skeleton.</w:t>
      </w:r>
    </w:p>
    <w:p>
      <w:pPr>
        <w:pStyle w:val="BNCFTBody"/>
        <w:spacing w:before="0" w:after="120" w:line="348" w:lineRule="auto"/>
        <w:ind w:firstLine="420"/>
        <w:jc w:val="both"/>
      </w:pPr>
      <w:r>
        <w:rPr>
          <w:rFonts w:ascii="Noto Serif CJK SC" w:hAnsi="Noto Serif CJK SC" w:eastAsia="Noto Serif CJK SC" w:cs="Noto Serif CJK SC"/>
          <w:b w:val="0"/>
          <w:i w:val="0"/>
          <w:sz w:val="22"/>
        </w:rPr>
        <w:t>If Group A stalls for too long, the high-energy interface and extension chapters should not be pushed too far ahead.</w:t>
      </w:r>
    </w:p>
    <w:p>
      <w:pPr>
        <w:pStyle w:val="BNCFTHeading2"/>
        <w:spacing w:before="80" w:after="120" w:line="276" w:lineRule="auto"/>
        <w:jc w:val="left"/>
      </w:pPr>
      <w:r>
        <w:rPr>
          <w:rFonts w:ascii="Noto Sans CJK SC" w:hAnsi="Noto Sans CJK SC" w:eastAsia="Noto Sans CJK SC" w:cs="Noto Sans CJK SC"/>
          <w:b/>
          <w:i w:val="0"/>
          <w:color w:val="1F4E79"/>
          <w:sz w:val="25"/>
        </w:rPr>
        <w:t>Group B: causality, geometry and high-energy interface</w:t>
      </w:r>
    </w:p>
    <w:p>
      <w:pPr>
        <w:pStyle w:val="BNCFTBody"/>
        <w:spacing w:before="0" w:after="120" w:line="348" w:lineRule="auto"/>
        <w:ind w:firstLine="420"/>
        <w:jc w:val="both"/>
      </w:pPr>
      <w:r>
        <w:rPr>
          <w:rFonts w:ascii="Noto Serif CJK SC" w:hAnsi="Noto Serif CJK SC" w:eastAsia="Noto Serif CJK SC" w:cs="Noto Serif CJK SC"/>
          <w:b w:val="0"/>
          <w:i w:val="0"/>
          <w:sz w:val="22"/>
        </w:rPr>
        <w:t>P4–P9 connect Volumes II, III and IV into one construction chain. The main danger here is to write 6D internal geometry or string-like objects as settled conclusions before the causal and geometric basis has stabilised.</w:t>
      </w:r>
    </w:p>
    <w:p>
      <w:pPr>
        <w:pStyle w:val="BNCFTBody"/>
        <w:spacing w:before="0" w:after="120" w:line="348" w:lineRule="auto"/>
        <w:ind w:firstLine="420"/>
        <w:jc w:val="both"/>
      </w:pPr>
      <w:r>
        <w:rPr>
          <w:rFonts w:ascii="Noto Serif CJK SC" w:hAnsi="Noto Serif CJK SC" w:eastAsia="Noto Serif CJK SC" w:cs="Noto Serif CJK SC"/>
          <w:b w:val="0"/>
          <w:i w:val="0"/>
          <w:sz w:val="22"/>
        </w:rPr>
        <w:t>Accordingly, every Group B proposition demands that the bridge be explicit, the boundary clear and the rhetoric controlled.</w:t>
      </w:r>
    </w:p>
    <w:p>
      <w:pPr>
        <w:pStyle w:val="BNCFTHeading2"/>
        <w:spacing w:before="80" w:after="120" w:line="276" w:lineRule="auto"/>
        <w:jc w:val="left"/>
      </w:pPr>
      <w:r>
        <w:rPr>
          <w:rFonts w:ascii="Noto Sans CJK SC" w:hAnsi="Noto Sans CJK SC" w:eastAsia="Noto Sans CJK SC" w:cs="Noto Sans CJK SC"/>
          <w:b/>
          <w:i w:val="0"/>
          <w:color w:val="1F4E79"/>
          <w:sz w:val="25"/>
        </w:rPr>
        <w:t>Group C: extension and external validation</w:t>
      </w:r>
    </w:p>
    <w:p>
      <w:pPr>
        <w:pStyle w:val="BNCFTBody"/>
        <w:spacing w:before="0" w:after="120" w:line="348" w:lineRule="auto"/>
        <w:ind w:firstLine="420"/>
        <w:jc w:val="both"/>
      </w:pPr>
      <w:r>
        <w:rPr>
          <w:rFonts w:ascii="Noto Serif CJK SC" w:hAnsi="Noto Serif CJK SC" w:eastAsia="Noto Serif CJK SC" w:cs="Noto Serif CJK SC"/>
          <w:b w:val="0"/>
          <w:i w:val="0"/>
          <w:sz w:val="22"/>
        </w:rPr>
        <w:t>P10–P12 belong to the enhancement and external-validation layer. They must not usurp the role of the foundation, but they do serve as branch splitters for whether Volume IV and the validation appendix can keep moving upward.</w:t>
      </w:r>
    </w:p>
    <w:p>
      <w:pPr>
        <w:pStyle w:val="BNCFTBody"/>
        <w:spacing w:before="0" w:after="120" w:line="348" w:lineRule="auto"/>
        <w:ind w:firstLine="420"/>
        <w:jc w:val="both"/>
      </w:pPr>
      <w:r>
        <w:rPr>
          <w:rFonts w:ascii="Noto Serif CJK SC" w:hAnsi="Noto Serif CJK SC" w:eastAsia="Noto Serif CJK SC" w:cs="Noto Serif CJK SC"/>
          <w:b w:val="0"/>
          <w:i w:val="0"/>
          <w:sz w:val="22"/>
        </w:rPr>
        <w:t>Failure in Group C does not automatically invalidate the whole theory; it means only that the relevant extension must be downgraded or rolled back.</w:t>
      </w:r>
    </w:p>
    <w:p>
      <w:pPr>
        <w:sectPr>
          <w:pgSz w:w="11906" w:h="16838"/>
          <w:pgMar w:top="1247" w:right="1247" w:bottom="1134" w:left="1361" w:header="567" w:footer="567" w:gutter="0"/>
          <w:cols w:space="720"/>
          <w:docGrid w:linePitch="360"/>
        </w:sectPr>
      </w:pPr>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130"/>
        <w:gridCol w:w="2130"/>
        <w:gridCol w:w="2130"/>
        <w:gridCol w:w="2130"/>
        <w:gridCol w:w="2130"/>
        <w:gridCol w:w="2130"/>
        <w:gridCol w:w="2130"/>
      </w:tblGrid>
      <w:tr>
        <w:tc>
          <w:tcPr>
            <w:tcW w:type="dxa" w:w="567"/>
            <w:shd w:fill="EAF2F8"/>
            <w:vAlign w:val="center"/>
            <w:tcMar>
              <w:top w:w="90" w:type="dxa"/>
              <w:start w:w="100" w:type="dxa"/>
              <w:bottom w:w="90" w:type="dxa"/>
              <w:end w:w="100" w:type="dxa"/>
            </w:tcMar>
          </w:tcPr>
          <w:p>
            <w:pPr>
              <w:spacing w:before="0" w:after="0" w:line="264" w:lineRule="auto"/>
              <w:jc w:val="center"/>
            </w:pPr>
            <w:r>
              <w:rPr>
                <w:rFonts w:ascii="Noto Sans CJK SC" w:hAnsi="Noto Sans CJK SC" w:eastAsia="Noto Sans CJK SC" w:cs="Noto Sans CJK SC"/>
                <w:b/>
                <w:i w:val="0"/>
                <w:color w:val="1F4E79"/>
                <w:sz w:val="19"/>
              </w:rPr>
              <w:t>ID</w:t>
            </w:r>
          </w:p>
        </w:tc>
        <w:tc>
          <w:tcPr>
            <w:tcW w:type="dxa" w:w="3742"/>
            <w:shd w:fill="EAF2F8"/>
            <w:vAlign w:val="center"/>
            <w:tcMar>
              <w:top w:w="90" w:type="dxa"/>
              <w:start w:w="100" w:type="dxa"/>
              <w:bottom w:w="90" w:type="dxa"/>
              <w:end w:w="100" w:type="dxa"/>
            </w:tcMar>
          </w:tcPr>
          <w:p>
            <w:pPr>
              <w:spacing w:before="0" w:after="0" w:line="264" w:lineRule="auto"/>
              <w:jc w:val="center"/>
            </w:pPr>
            <w:r>
              <w:rPr>
                <w:rFonts w:ascii="Noto Sans CJK SC" w:hAnsi="Noto Sans CJK SC" w:eastAsia="Noto Sans CJK SC" w:cs="Noto Sans CJK SC"/>
                <w:b/>
                <w:i w:val="0"/>
                <w:color w:val="1F4E79"/>
                <w:sz w:val="19"/>
              </w:rPr>
              <w:t>Proposition</w:t>
            </w:r>
          </w:p>
        </w:tc>
        <w:tc>
          <w:tcPr>
            <w:tcW w:type="dxa" w:w="1020"/>
            <w:shd w:fill="EAF2F8"/>
            <w:vAlign w:val="center"/>
            <w:tcMar>
              <w:top w:w="90" w:type="dxa"/>
              <w:start w:w="100" w:type="dxa"/>
              <w:bottom w:w="90" w:type="dxa"/>
              <w:end w:w="100" w:type="dxa"/>
            </w:tcMar>
          </w:tcPr>
          <w:p>
            <w:pPr>
              <w:spacing w:before="0" w:after="0" w:line="264" w:lineRule="auto"/>
              <w:jc w:val="center"/>
            </w:pPr>
            <w:r>
              <w:rPr>
                <w:rFonts w:ascii="Noto Sans CJK SC" w:hAnsi="Noto Sans CJK SC" w:eastAsia="Noto Sans CJK SC" w:cs="Noto Sans CJK SC"/>
                <w:b/>
                <w:i w:val="0"/>
                <w:color w:val="1F4E79"/>
                <w:sz w:val="19"/>
              </w:rPr>
              <w:t>Status</w:t>
            </w:r>
          </w:p>
        </w:tc>
        <w:tc>
          <w:tcPr>
            <w:tcW w:type="dxa" w:w="3061"/>
            <w:shd w:fill="EAF2F8"/>
            <w:vAlign w:val="center"/>
            <w:tcMar>
              <w:top w:w="90" w:type="dxa"/>
              <w:start w:w="100" w:type="dxa"/>
              <w:bottom w:w="90" w:type="dxa"/>
              <w:end w:w="100" w:type="dxa"/>
            </w:tcMar>
          </w:tcPr>
          <w:p>
            <w:pPr>
              <w:spacing w:before="0" w:after="0" w:line="264" w:lineRule="auto"/>
              <w:jc w:val="center"/>
            </w:pPr>
            <w:r>
              <w:rPr>
                <w:rFonts w:ascii="Noto Sans CJK SC" w:hAnsi="Noto Sans CJK SC" w:eastAsia="Noto Sans CJK SC" w:cs="Noto Sans CJK SC"/>
                <w:b/>
                <w:i w:val="0"/>
                <w:color w:val="1F4E79"/>
                <w:sz w:val="19"/>
              </w:rPr>
              <w:t>Minimum task</w:t>
            </w:r>
          </w:p>
        </w:tc>
        <w:tc>
          <w:tcPr>
            <w:tcW w:type="dxa" w:w="3061"/>
            <w:shd w:fill="EAF2F8"/>
            <w:vAlign w:val="center"/>
            <w:tcMar>
              <w:top w:w="90" w:type="dxa"/>
              <w:start w:w="100" w:type="dxa"/>
              <w:bottom w:w="90" w:type="dxa"/>
              <w:end w:w="100" w:type="dxa"/>
            </w:tcMar>
          </w:tcPr>
          <w:p>
            <w:pPr>
              <w:spacing w:before="0" w:after="0" w:line="264" w:lineRule="auto"/>
              <w:jc w:val="center"/>
            </w:pPr>
            <w:r>
              <w:rPr>
                <w:rFonts w:ascii="Noto Sans CJK SC" w:hAnsi="Noto Sans CJK SC" w:eastAsia="Noto Sans CJK SC" w:cs="Noto Sans CJK SC"/>
                <w:b/>
                <w:i w:val="0"/>
                <w:color w:val="1F4E79"/>
                <w:sz w:val="19"/>
              </w:rPr>
              <w:t>Pass criterion</w:t>
            </w:r>
          </w:p>
        </w:tc>
        <w:tc>
          <w:tcPr>
            <w:tcW w:type="dxa" w:w="1361"/>
            <w:shd w:fill="EAF2F8"/>
            <w:vAlign w:val="center"/>
            <w:tcMar>
              <w:top w:w="90" w:type="dxa"/>
              <w:start w:w="100" w:type="dxa"/>
              <w:bottom w:w="90" w:type="dxa"/>
              <w:end w:w="100" w:type="dxa"/>
            </w:tcMar>
          </w:tcPr>
          <w:p>
            <w:pPr>
              <w:spacing w:before="0" w:after="0" w:line="264" w:lineRule="auto"/>
              <w:jc w:val="center"/>
            </w:pPr>
            <w:r>
              <w:rPr>
                <w:rFonts w:ascii="Noto Sans CJK SC" w:hAnsi="Noto Sans CJK SC" w:eastAsia="Noto Sans CJK SC" w:cs="Noto Sans CJK SC"/>
                <w:b/>
                <w:i w:val="0"/>
                <w:color w:val="1F4E79"/>
                <w:sz w:val="19"/>
              </w:rPr>
              <w:t>Destination</w:t>
            </w:r>
          </w:p>
        </w:tc>
        <w:tc>
          <w:tcPr>
            <w:tcW w:type="dxa" w:w="907"/>
            <w:shd w:fill="EAF2F8"/>
            <w:vAlign w:val="center"/>
            <w:tcMar>
              <w:top w:w="90" w:type="dxa"/>
              <w:start w:w="100" w:type="dxa"/>
              <w:bottom w:w="90" w:type="dxa"/>
              <w:end w:w="100" w:type="dxa"/>
            </w:tcMar>
          </w:tcPr>
          <w:p>
            <w:pPr>
              <w:spacing w:before="0" w:after="0" w:line="264" w:lineRule="auto"/>
              <w:jc w:val="center"/>
            </w:pPr>
            <w:r>
              <w:rPr>
                <w:rFonts w:ascii="Noto Sans CJK SC" w:hAnsi="Noto Sans CJK SC" w:eastAsia="Noto Sans CJK SC" w:cs="Noto Sans CJK SC"/>
                <w:b/>
                <w:i w:val="0"/>
                <w:color w:val="1F4E79"/>
                <w:sz w:val="19"/>
              </w:rPr>
              <w:t>Priority</w:t>
            </w:r>
          </w:p>
        </w:tc>
      </w:tr>
      <w:tr>
        <w:tc>
          <w:tcPr>
            <w:tcW w:type="dxa" w:w="567"/>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7"/>
              </w:rPr>
              <w:t>P1</w:t>
            </w:r>
          </w:p>
        </w:tc>
        <w:tc>
          <w:tcPr>
            <w:tcW w:type="dxa" w:w="3742"/>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How the global common-field state yields Bell-type joint probabilities and no-signalling marginals</w:t>
            </w:r>
          </w:p>
        </w:tc>
        <w:tc>
          <w:tcPr>
            <w:tcW w:type="dxa" w:w="1020"/>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Open</w:t>
            </w:r>
          </w:p>
        </w:tc>
        <w:tc>
          <w:tcPr>
            <w:tcW w:type="dxa" w:w="306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Build a minimum probability-functional model with marginal conservation</w:t>
            </w:r>
          </w:p>
        </w:tc>
        <w:tc>
          <w:tcPr>
            <w:tcW w:type="dxa" w:w="306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Reproduce Bell correlations and no-signalling in a minimal two-end readout model</w:t>
            </w:r>
          </w:p>
        </w:tc>
        <w:tc>
          <w:tcPr>
            <w:tcW w:type="dxa" w:w="136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Vol. I / Validation</w:t>
            </w:r>
          </w:p>
        </w:tc>
        <w:tc>
          <w:tcPr>
            <w:tcW w:type="dxa" w:w="907"/>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A</w:t>
            </w:r>
          </w:p>
        </w:tc>
      </w:tr>
      <w:tr>
        <w:tc>
          <w:tcPr>
            <w:tcW w:type="dxa" w:w="567"/>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7"/>
              </w:rPr>
              <w:t>P2</w:t>
            </w:r>
          </w:p>
        </w:tc>
        <w:tc>
          <w:tcPr>
            <w:tcW w:type="dxa" w:w="3742"/>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Whether measurement readout can be explained as nonlinear stable selection</w:t>
            </w:r>
          </w:p>
        </w:tc>
        <w:tc>
          <w:tcPr>
            <w:tcW w:type="dxa" w:w="1020"/>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Open</w:t>
            </w:r>
          </w:p>
        </w:tc>
        <w:tc>
          <w:tcPr>
            <w:tcW w:type="dxa" w:w="306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Construct a field–apparatus coupling model with stable basins</w:t>
            </w:r>
          </w:p>
        </w:tc>
        <w:tc>
          <w:tcPr>
            <w:tcW w:type="dxa" w:w="306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Distinguish repeatable readouts from unstable transients</w:t>
            </w:r>
          </w:p>
        </w:tc>
        <w:tc>
          <w:tcPr>
            <w:tcW w:type="dxa" w:w="136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Vol. I</w:t>
            </w:r>
          </w:p>
        </w:tc>
        <w:tc>
          <w:tcPr>
            <w:tcW w:type="dxa" w:w="907"/>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A</w:t>
            </w:r>
          </w:p>
        </w:tc>
      </w:tr>
      <w:tr>
        <w:tc>
          <w:tcPr>
            <w:tcW w:type="dxa" w:w="567"/>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7"/>
              </w:rPr>
              <w:t>P3</w:t>
            </w:r>
          </w:p>
        </w:tc>
        <w:tc>
          <w:tcPr>
            <w:tcW w:type="dxa" w:w="3742"/>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Whether identical-particle statistics can be rewritten as properties of common-field excitation modes</w:t>
            </w:r>
          </w:p>
        </w:tc>
        <w:tc>
          <w:tcPr>
            <w:tcW w:type="dxa" w:w="1020"/>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Open</w:t>
            </w:r>
          </w:p>
        </w:tc>
        <w:tc>
          <w:tcPr>
            <w:tcW w:type="dxa" w:w="306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Define mode labels, exchange operation and statistical correspondence</w:t>
            </w:r>
          </w:p>
        </w:tc>
        <w:tc>
          <w:tcPr>
            <w:tcW w:type="dxa" w:w="306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Recover Bose/Fermi statistics in a simplified model</w:t>
            </w:r>
          </w:p>
        </w:tc>
        <w:tc>
          <w:tcPr>
            <w:tcW w:type="dxa" w:w="136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Vol. I</w:t>
            </w:r>
          </w:p>
        </w:tc>
        <w:tc>
          <w:tcPr>
            <w:tcW w:type="dxa" w:w="907"/>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B</w:t>
            </w:r>
          </w:p>
        </w:tc>
      </w:tr>
      <w:tr>
        <w:tc>
          <w:tcPr>
            <w:tcW w:type="dxa" w:w="567"/>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7"/>
              </w:rPr>
              <w:t>P4</w:t>
            </w:r>
          </w:p>
        </w:tc>
        <w:tc>
          <w:tcPr>
            <w:tcW w:type="dxa" w:w="3742"/>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How a background-free update order yields causal order and effective time</w:t>
            </w:r>
          </w:p>
        </w:tc>
        <w:tc>
          <w:tcPr>
            <w:tcW w:type="dxa" w:w="1020"/>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Partial</w:t>
            </w:r>
          </w:p>
        </w:tc>
        <w:tc>
          <w:tcPr>
            <w:tcW w:type="dxa" w:w="306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Unify update rules, causal partial order and slicing</w:t>
            </w:r>
          </w:p>
        </w:tc>
        <w:tc>
          <w:tcPr>
            <w:tcW w:type="dxa" w:w="306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No circular hidden use of prior time</w:t>
            </w:r>
          </w:p>
        </w:tc>
        <w:tc>
          <w:tcPr>
            <w:tcW w:type="dxa" w:w="136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Vol. II</w:t>
            </w:r>
          </w:p>
        </w:tc>
        <w:tc>
          <w:tcPr>
            <w:tcW w:type="dxa" w:w="907"/>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A</w:t>
            </w:r>
          </w:p>
        </w:tc>
      </w:tr>
      <w:tr>
        <w:tc>
          <w:tcPr>
            <w:tcW w:type="dxa" w:w="567"/>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7"/>
              </w:rPr>
              <w:t>P5</w:t>
            </w:r>
          </w:p>
        </w:tc>
        <w:tc>
          <w:tcPr>
            <w:tcW w:type="dxa" w:w="3742"/>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How discrete geometric quantities emerge from the common-field skeleton and observables</w:t>
            </w:r>
          </w:p>
        </w:tc>
        <w:tc>
          <w:tcPr>
            <w:tcW w:type="dxa" w:w="1020"/>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Partial</w:t>
            </w:r>
          </w:p>
        </w:tc>
        <w:tc>
          <w:tcPr>
            <w:tcW w:type="dxa" w:w="306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Define distance proxies, volume growth and curvature proxies</w:t>
            </w:r>
          </w:p>
        </w:tc>
        <w:tc>
          <w:tcPr>
            <w:tcW w:type="dxa" w:w="306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Numerical examples distinguish geometric phases</w:t>
            </w:r>
          </w:p>
        </w:tc>
        <w:tc>
          <w:tcPr>
            <w:tcW w:type="dxa" w:w="136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Vol. III</w:t>
            </w:r>
          </w:p>
        </w:tc>
        <w:tc>
          <w:tcPr>
            <w:tcW w:type="dxa" w:w="907"/>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A</w:t>
            </w:r>
          </w:p>
        </w:tc>
      </w:tr>
      <w:tr>
        <w:tc>
          <w:tcPr>
            <w:tcW w:type="dxa" w:w="567"/>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7"/>
              </w:rPr>
              <w:t>P6</w:t>
            </w:r>
          </w:p>
        </w:tc>
        <w:tc>
          <w:tcPr>
            <w:tcW w:type="dxa" w:w="3742"/>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Whether SU(4)/Spin(6) supports more than an algebra bridge toward 6D internal geometry</w:t>
            </w:r>
          </w:p>
        </w:tc>
        <w:tc>
          <w:tcPr>
            <w:tcW w:type="dxa" w:w="1020"/>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Open</w:t>
            </w:r>
          </w:p>
        </w:tc>
        <w:tc>
          <w:tcPr>
            <w:tcW w:type="dxa" w:w="306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Build effective representation rewriting and finite internal-structure conditions</w:t>
            </w:r>
          </w:p>
        </w:tc>
        <w:tc>
          <w:tcPr>
            <w:tcW w:type="dxa" w:w="306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Clarify exactly what is and is not obtained</w:t>
            </w:r>
          </w:p>
        </w:tc>
        <w:tc>
          <w:tcPr>
            <w:tcW w:type="dxa" w:w="136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Vol. IV</w:t>
            </w:r>
          </w:p>
        </w:tc>
        <w:tc>
          <w:tcPr>
            <w:tcW w:type="dxa" w:w="907"/>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B</w:t>
            </w:r>
          </w:p>
        </w:tc>
      </w:tr>
      <w:tr>
        <w:tc>
          <w:tcPr>
            <w:tcW w:type="dxa" w:w="567"/>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7"/>
              </w:rPr>
              <w:t>P7</w:t>
            </w:r>
          </w:p>
        </w:tc>
        <w:tc>
          <w:tcPr>
            <w:tcW w:type="dxa" w:w="3742"/>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Why string-like objects should be π1-dominant rather than wall/monopole-dominant</w:t>
            </w:r>
          </w:p>
        </w:tc>
        <w:tc>
          <w:tcPr>
            <w:tcW w:type="dxa" w:w="1020"/>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Open</w:t>
            </w:r>
          </w:p>
        </w:tc>
        <w:tc>
          <w:tcPr>
            <w:tcW w:type="dxa" w:w="306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Analyse vacuum manifold, homotopy and suppression of competitors</w:t>
            </w:r>
          </w:p>
        </w:tc>
        <w:tc>
          <w:tcPr>
            <w:tcW w:type="dxa" w:w="306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At least one π1-dominant one-dimensional defect example</w:t>
            </w:r>
          </w:p>
        </w:tc>
        <w:tc>
          <w:tcPr>
            <w:tcW w:type="dxa" w:w="136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Vol. IV</w:t>
            </w:r>
          </w:p>
        </w:tc>
        <w:tc>
          <w:tcPr>
            <w:tcW w:type="dxa" w:w="907"/>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A</w:t>
            </w:r>
          </w:p>
        </w:tc>
      </w:tr>
      <w:tr>
        <w:tc>
          <w:tcPr>
            <w:tcW w:type="dxa" w:w="567"/>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7"/>
              </w:rPr>
              <w:t>P8</w:t>
            </w:r>
          </w:p>
        </w:tc>
        <w:tc>
          <w:tcPr>
            <w:tcW w:type="dxa" w:w="3742"/>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How the candidate V(Φ,B;λ_i) class avoids becoming a black box</w:t>
            </w:r>
          </w:p>
        </w:tc>
        <w:tc>
          <w:tcPr>
            <w:tcW w:type="dxa" w:w="1020"/>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Open</w:t>
            </w:r>
          </w:p>
        </w:tc>
        <w:tc>
          <w:tcPr>
            <w:tcW w:type="dxa" w:w="306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List symmetry, bounded-from-below, phase-structure and localisation constraints</w:t>
            </w:r>
          </w:p>
        </w:tc>
        <w:tc>
          <w:tcPr>
            <w:tcW w:type="dxa" w:w="306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At least one non-pathological candidate potential class</w:t>
            </w:r>
          </w:p>
        </w:tc>
        <w:tc>
          <w:tcPr>
            <w:tcW w:type="dxa" w:w="136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Vol. IV</w:t>
            </w:r>
          </w:p>
        </w:tc>
        <w:tc>
          <w:tcPr>
            <w:tcW w:type="dxa" w:w="907"/>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A</w:t>
            </w:r>
          </w:p>
        </w:tc>
      </w:tr>
      <w:tr>
        <w:tc>
          <w:tcPr>
            <w:tcW w:type="dxa" w:w="567"/>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7"/>
              </w:rPr>
              <w:t>P9</w:t>
            </w:r>
          </w:p>
        </w:tc>
        <w:tc>
          <w:tcPr>
            <w:tcW w:type="dxa" w:w="3742"/>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Whether the Pati–Salam / SM interface is anomaly-free and low-energy-compatible</w:t>
            </w:r>
          </w:p>
        </w:tc>
        <w:tc>
          <w:tcPr>
            <w:tcW w:type="dxa" w:w="1020"/>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Open</w:t>
            </w:r>
          </w:p>
        </w:tc>
        <w:tc>
          <w:tcPr>
            <w:tcW w:type="dxa" w:w="306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Check content, breaking chain and anomaly conditions</w:t>
            </w:r>
          </w:p>
        </w:tc>
        <w:tc>
          <w:tcPr>
            <w:tcW w:type="dxa" w:w="306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One minimum interface chain survives the checks</w:t>
            </w:r>
          </w:p>
        </w:tc>
        <w:tc>
          <w:tcPr>
            <w:tcW w:type="dxa" w:w="136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Vol. IV</w:t>
            </w:r>
          </w:p>
        </w:tc>
        <w:tc>
          <w:tcPr>
            <w:tcW w:type="dxa" w:w="907"/>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B</w:t>
            </w:r>
          </w:p>
        </w:tc>
      </w:tr>
      <w:tr>
        <w:tc>
          <w:tcPr>
            <w:tcW w:type="dxa" w:w="567"/>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7"/>
              </w:rPr>
              <w:t>P10</w:t>
            </w:r>
          </w:p>
        </w:tc>
        <w:tc>
          <w:tcPr>
            <w:tcW w:type="dxa" w:w="3742"/>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Whether 4+6+Xi_5 genuinely compresses the landscape</w:t>
            </w:r>
          </w:p>
        </w:tc>
        <w:tc>
          <w:tcPr>
            <w:tcW w:type="dxa" w:w="1020"/>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Open</w:t>
            </w:r>
          </w:p>
        </w:tc>
        <w:tc>
          <w:tcPr>
            <w:tcW w:type="dxa" w:w="306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Apply five-anchor filtering to a candidate vacuum set</w:t>
            </w:r>
          </w:p>
        </w:tc>
        <w:tc>
          <w:tcPr>
            <w:tcW w:type="dxa" w:w="306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Comparable pre-/post-filter branch results</w:t>
            </w:r>
          </w:p>
        </w:tc>
        <w:tc>
          <w:tcPr>
            <w:tcW w:type="dxa" w:w="136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Vol. IV / extension</w:t>
            </w:r>
          </w:p>
        </w:tc>
        <w:tc>
          <w:tcPr>
            <w:tcW w:type="dxa" w:w="907"/>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A</w:t>
            </w:r>
          </w:p>
        </w:tc>
      </w:tr>
      <w:tr>
        <w:tc>
          <w:tcPr>
            <w:tcW w:type="dxa" w:w="567"/>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7"/>
              </w:rPr>
              <w:t>P11</w:t>
            </w:r>
          </w:p>
        </w:tc>
        <w:tc>
          <w:tcPr>
            <w:tcW w:type="dxa" w:w="3742"/>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Whether ξ5 can be projected into non-Hermitian/topological-superconducting effective theories</w:t>
            </w:r>
          </w:p>
        </w:tc>
        <w:tc>
          <w:tcPr>
            <w:tcW w:type="dxa" w:w="1020"/>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Open</w:t>
            </w:r>
          </w:p>
        </w:tc>
        <w:tc>
          <w:tcPr>
            <w:tcW w:type="dxa" w:w="306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Write explicit filtering rules in at least two condensed-matter models</w:t>
            </w:r>
          </w:p>
        </w:tc>
        <w:tc>
          <w:tcPr>
            <w:tcW w:type="dxa" w:w="306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Visible gain in explanatory or constraining power</w:t>
            </w:r>
          </w:p>
        </w:tc>
        <w:tc>
          <w:tcPr>
            <w:tcW w:type="dxa" w:w="136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Extension appendix</w:t>
            </w:r>
          </w:p>
        </w:tc>
        <w:tc>
          <w:tcPr>
            <w:tcW w:type="dxa" w:w="907"/>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B</w:t>
            </w:r>
          </w:p>
        </w:tc>
      </w:tr>
      <w:tr>
        <w:tc>
          <w:tcPr>
            <w:tcW w:type="dxa" w:w="567"/>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7"/>
              </w:rPr>
              <w:t>P12</w:t>
            </w:r>
          </w:p>
        </w:tc>
        <w:tc>
          <w:tcPr>
            <w:tcW w:type="dxa" w:w="3742"/>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Whether high-precision / theory-branching cases can be organised into an external validation axis</w:t>
            </w:r>
          </w:p>
        </w:tc>
        <w:tc>
          <w:tcPr>
            <w:tcW w:type="dxa" w:w="1020"/>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Partial</w:t>
            </w:r>
          </w:p>
        </w:tc>
        <w:tc>
          <w:tcPr>
            <w:tcW w:type="dxa" w:w="306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Complete the muon g−2 / LHC evidence chain with bounded rhetoric</w:t>
            </w:r>
          </w:p>
        </w:tc>
        <w:tc>
          <w:tcPr>
            <w:tcW w:type="dxa" w:w="306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Argument remains strong without exaggerating universal mismatch</w:t>
            </w:r>
          </w:p>
        </w:tc>
        <w:tc>
          <w:tcPr>
            <w:tcW w:type="dxa" w:w="136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Outline / validation</w:t>
            </w:r>
          </w:p>
        </w:tc>
        <w:tc>
          <w:tcPr>
            <w:tcW w:type="dxa" w:w="907"/>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7"/>
              </w:rPr>
              <w:t>A</w:t>
            </w:r>
          </w:p>
        </w:tc>
      </w:tr>
    </w:tbl>
    <w:sectPr w:rsidR="00FC693F" w:rsidRPr="0006063C" w:rsidSect="00034616">
      <w:pgSz w:w="16838" w:h="11906" w:orient="landscape"/>
      <w:pgMar w:top="1020" w:right="964" w:bottom="1020" w:left="96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Noto Sans CJK SC" w:hAnsi="Noto Sans CJK SC" w:eastAsia="Noto Sans CJK SC" w:cs="Noto Sans CJK SC"/>
        <w:b w:val="0"/>
        <w:i w:val="0"/>
        <w:color w:val="595959"/>
        <w:sz w:val="17"/>
      </w:rPr>
      <w:t xml:space="preserve">BNCFT · </w:t>
    </w:r>
    <w:r>
      <w:rPr>
        <w:rFonts w:ascii="Noto Serif CJK SC" w:hAnsi="Noto Serif CJK SC" w:eastAsia="Noto Serif CJK SC" w:cs="Noto Serif CJK SC"/>
        <w:b w:val="0"/>
        <w:i w:val="0"/>
        <w:color w:val="595959"/>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Noto Sans CJK SC" w:hAnsi="Noto Sans CJK SC" w:eastAsia="Noto Sans CJK SC" w:cs="Noto Sans CJK SC"/>
        <w:b w:val="0"/>
        <w:i w:val="0"/>
        <w:color w:val="595959"/>
        <w:sz w:val="17"/>
      </w:rPr>
      <w:t>BNCFT Unproved Propositions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NCFTBody">
    <w:name w:val="BNCFT Body"/>
    <w:rPr>
      <w:rFonts w:ascii="Noto Serif CJK SC" w:hAnsi="Noto Serif CJK SC" w:eastAsia="Noto Serif CJK SC"/>
      <w:sz w:val="22"/>
    </w:rPr>
  </w:style>
  <w:style w:type="paragraph" w:customStyle="1" w:styleId="BNCFTHeading1">
    <w:name w:val="BNCFT Heading 1"/>
    <w:rPr>
      <w:rFonts w:ascii="Noto Sans CJK SC" w:hAnsi="Noto Sans CJK SC" w:eastAsia="Noto Sans CJK SC"/>
      <w:b/>
      <w:color w:val="1F4E79"/>
      <w:sz w:val="30"/>
    </w:rPr>
  </w:style>
  <w:style w:type="paragraph" w:customStyle="1" w:styleId="BNCFTHeading2">
    <w:name w:val="BNCFT Heading 2"/>
    <w:rPr>
      <w:rFonts w:ascii="Noto Sans CJK SC" w:hAnsi="Noto Sans CJK SC" w:eastAsia="Noto Sans CJK SC"/>
      <w:b/>
      <w:color w:val="1F4E79"/>
      <w:sz w:val="2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