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br/>
      </w:r>
      <w:r>
        <w:br/>
      </w:r>
      <w:r>
        <w:br/>
      </w:r>
      <w:r>
        <w:br/>
      </w:r>
      <w:r>
        <w:br/>
      </w:r>
    </w:p>
    <w:p>
      <w:pPr>
        <w:spacing w:before="0" w:after="200" w:line="264" w:lineRule="auto"/>
        <w:jc w:val="center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40"/>
        </w:rPr>
        <w:t>BNCFT 第四编专题预备章</w:t>
      </w:r>
    </w:p>
    <w:p>
      <w:pPr>
        <w:spacing w:before="0" w:after="360" w:line="264" w:lineRule="auto"/>
        <w:jc w:val="center"/>
      </w:pPr>
      <w:r>
        <w:rPr>
          <w:rFonts w:ascii="Noto Sans CJK SC" w:hAnsi="Noto Sans CJK SC" w:eastAsia="Noto Sans CJK SC" w:cs="Noto Sans CJK SC"/>
          <w:b w:val="0"/>
          <w:i/>
          <w:color w:val="595959"/>
          <w:sz w:val="25"/>
        </w:rPr>
        <w:t>BNCFT Preparatory Thematic Chapter for Volume IV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D9E2F3"/>
          <w:left w:val="single" w:sz="8" w:space="0" w:color="D9E2F3"/>
          <w:bottom w:val="single" w:sz="8" w:space="0" w:color="D9E2F3"/>
          <w:right w:val="single" w:sz="8" w:space="0" w:color="D9E2F3"/>
          <w:insideH w:val="single" w:sz="8" w:space="0" w:color="D9E2F3"/>
          <w:insideV w:val="single" w:sz="8" w:space="0" w:color="D9E2F3"/>
        </w:tblBorders>
      </w:tblPr>
      <w:tblGrid>
        <w:gridCol w:w="4649"/>
        <w:gridCol w:w="4649"/>
      </w:tblGrid>
      <w:tr>
        <w:trPr/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文档定位 / Purpose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21"/>
              </w:rPr>
              <w:t>专题预备章：统一弦样结构接口、6 维内部几何解释与 4+6+Xi_5 五重锚定扩展 / Topical preparatory chapter</w:t>
            </w:r>
          </w:p>
        </w:tc>
      </w:tr>
      <w:tr>
        <w:trPr/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作者 / Author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21"/>
              </w:rPr>
              <w:t>吴启明    467274520@qq.com</w:t>
            </w:r>
          </w:p>
        </w:tc>
      </w:tr>
      <w:tr>
        <w:trPr/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版本 / Version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21"/>
              </w:rPr>
              <w:t>V1</w:t>
            </w:r>
          </w:p>
        </w:tc>
      </w:tr>
      <w:tr>
        <w:trPr/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日期 / Date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21"/>
              </w:rPr>
              <w:t>2026-04-20</w:t>
            </w:r>
          </w:p>
        </w:tc>
      </w:tr>
      <w:tr>
        <w:trPr/>
        <w:tc>
          <w:tcPr>
            <w:tcW w:type="dxa" w:w="226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2F8"/>
          </w:tcPr>
          <w:p>
            <w:pPr>
              <w:spacing w:before="0" w:after="0" w:line="264" w:lineRule="auto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21"/>
              </w:rPr>
              <w:t>备注 / Note</w:t>
            </w:r>
          </w:p>
        </w:tc>
        <w:tc>
          <w:tcPr>
            <w:tcW w:type="dxa" w:w="53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21"/>
              </w:rPr>
              <w:t>本章为接口稿与扩展稿的统合版本，口径统一为‘机制性候选与可裁决任务’，不宣称终局证明。</w:t>
            </w:r>
          </w:p>
        </w:tc>
      </w:tr>
    </w:tbl>
    <w:p>
      <w:pPr>
        <w:spacing w:before="360" w:after="0" w:line="324" w:lineRule="auto"/>
        <w:jc w:val="center"/>
      </w:pPr>
      <w:r>
        <w:rPr>
          <w:rFonts w:ascii="Noto Sans CJK SC" w:hAnsi="Noto Sans CJK SC" w:eastAsia="Noto Sans CJK SC" w:cs="Noto Sans CJK SC"/>
          <w:b w:val="0"/>
          <w:i w:val="0"/>
          <w:color w:val="595959"/>
          <w:sz w:val="22"/>
        </w:rPr>
        <w:t>无背景非线性共享场理论（BNCFT）正式文档包</w:t>
      </w:r>
    </w:p>
    <w:p>
      <w:r>
        <w:br w:type="page"/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定位与边界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本章不是“BNCFT 已严格推出完整超弦理论”的终局证明稿，而是第四编的专题预备章。其任务是把目前已经形成的两条高能接口线——弦样结构/6维内部几何接口与 4+6+Xi_5 五重锚定扩展——统一到同一施工框架之下。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本章保留 BNCFT 的无背景主轴，但明确承认：凡使用连续几何、BF 型有效作用量、Pati–Salam 破缺链等表述的地方，都处于接口层，而非本体层起点。这样做的目的，不是回避问题，而是把“从无背景骨架到有效连续语言”的桥接任务显性化。</w:t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本体层—接口层—现象层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为避免“伪无背景”质疑，本章采用三分框架：本体层对应无背景代数/离散骨架；接口层对应经过粗粒化、稳定相选择与平滑化后的拓扑—连续有效语言；现象层对应具体的缺陷对象、低能规范结构与可观测效应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因此，BF 型或其他有效作用量只能被写成接口层表达。它们不是理论的本体出发点，而是后继投影。该层级关系必须贯穿第四编后续所有专题稿。</w:t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SU(4)/Spin(6) 代数桥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本章保留 su(4) ≅ so(6) 与 Spin(6) ≅ SU(4) 这一高能接口中的强代数支点。其意义在于：某些内部自由度可以在表示论上被重写为 6 维旋转对称语言，从而为“6维内部几何解释”提供结构性桥梁。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但代数桥并不等于几何构造完成。本章据此只主张三个可施工任务：第一，内部自由度如何在粗粒化后组织成 6 维表示；第二，何以出现稳定或亚稳的有限内部结构；第三，该结构能否与手征性、稳定性与低能谱一致。</w:t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拓扑缺陷维度选择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上一轮接口稿把“强耦合非线性—通量管—弦样对象”写得过于依赖类比。修订后的第四编必须改用更硬的框架：弦样对象是否成立，取决于真空流形上的缺陷维度选择。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设有效真空流形为 M_vac = G/H，则稳定缺陷的维度由相应同伦群控制。第四编不再直接宣布“一维优先”，而是要求证明：为何 π1 主导的一维缺陷在目标相区中得以保留，同时 π0 或 π2 对应的竞争缺陷被压制、抬高或排除。</w:t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4+6+Xi_5 五重锚定扩展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本章正式采纳 4+6+Xi_5 这一工作记号。这里的“4”表示宏观有效时空维，“6”表示内部规范—几何接口维，而 Xi_5 表示五重离散锚定约束；因此，“+5”不是五个新增几何维度，而是五个依次收紧的筛选方向。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五个锚的建议工作定义如下：ξ1 真空选择锚，ξ2 表示/手征锚，ξ3 异常与一致性锚，ξ4 拓扑缺陷维度选择锚，ξ5 开放性—耗散—配对投影锚。它们的作用，不是生成更多景观分支，而是减少允许结构。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099"/>
        <w:gridCol w:w="3099"/>
        <w:gridCol w:w="3099"/>
      </w:tblGrid>
      <w:tr>
        <w:tc>
          <w:tcPr>
            <w:tcW w:type="dxa" w:w="2268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锚</w:t>
            </w:r>
          </w:p>
        </w:tc>
        <w:tc>
          <w:tcPr>
            <w:tcW w:type="dxa" w:w="396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工作定义</w:t>
            </w:r>
          </w:p>
        </w:tc>
        <w:tc>
          <w:tcPr>
            <w:tcW w:type="dxa" w:w="2835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当前用途</w:t>
            </w:r>
          </w:p>
        </w:tc>
      </w:tr>
      <w:t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ξ1 真空选择锚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限制允许真空组织与粗粒化后一致的稳定分支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压缩景观分支</w:t>
            </w:r>
          </w:p>
        </w:tc>
      </w:tr>
      <w:t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ξ2 表示/手征锚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约束可接受表示内容、手征结构与费米子谱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避免“代数可写、物理无用”</w:t>
            </w:r>
          </w:p>
        </w:tc>
      </w:tr>
      <w:t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ξ3 异常与一致性锚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排除规范异常、全局不一致与耦合病态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守住自洽性底线</w:t>
            </w:r>
          </w:p>
        </w:tc>
      </w:tr>
      <w:t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ξ4 拓扑缺陷维度选择锚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筛选何种稳定缺陷得以保留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为一维弦样对象提供约束通道</w:t>
            </w:r>
          </w:p>
        </w:tc>
      </w:tr>
      <w:tr>
        <w:tc>
          <w:tcPr>
            <w:tcW w:type="dxa" w:w="2268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ξ5 开放性—耗散—配对投影锚</w:t>
            </w:r>
          </w:p>
        </w:tc>
        <w:tc>
          <w:tcPr>
            <w:tcW w:type="dxa" w:w="396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把约束骨架投影至非厄米/开放系统/超导有效理论</w:t>
            </w:r>
          </w:p>
        </w:tc>
        <w:tc>
          <w:tcPr>
            <w:tcW w:type="dxa" w:w="2835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形成跨层接口</w:t>
            </w:r>
          </w:p>
        </w:tc>
      </w:tr>
    </w:tbl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与低能接口的关系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在高能侧，第四编只要求 4+6+Xi_5 能显著压缩候选真空与允许表示；在低能侧，则只要求它能把筛选骨架投影到开放系统、非厄米拓扑材料、拓扑超导等有效理论语言中。此处应坚持‘同一约束骨架，不同有效投影’的写法，避免把所有对象强行几何化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Pati–Salam 或标准模型破缺链在本章中的地位，也只能是接口层。它们用于检查表示组织、异常与低能兼容性，而不是被误写为本体公理。</w:t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可裁决命题与最小算例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第四编当前最需要的，不是继续增加命名，而是给出最小可裁决命题。至少应包括：命题 A——存在某类接口真空，其内部自由度可被有效重写为 6 维对称表示；命题 B——存在 π1 主导的一维稳定缺陷样例；命题 C——存在一组五锚筛选前后可比较的候选真空集；命题 D——存在一个 ξ5 投影到凝聚态开放系统的最小演示模型。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与上述命题配套的最小算例应力求小而硬：一个真空流形样例、一个候选势能类、一个筛选前后分支对比、一个低能开放系统投影示例。只要这四类算例成立，第四编就能从“概念丰富”转入“开始可算”。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</w:tblPr>
      <w:tblGrid>
        <w:gridCol w:w="3099"/>
        <w:gridCol w:w="3099"/>
        <w:gridCol w:w="3099"/>
      </w:tblGrid>
      <w:tr>
        <w:tc>
          <w:tcPr>
            <w:tcW w:type="dxa" w:w="1247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命题</w:t>
            </w:r>
          </w:p>
        </w:tc>
        <w:tc>
          <w:tcPr>
            <w:tcW w:type="dxa" w:w="4649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内容</w:t>
            </w:r>
          </w:p>
        </w:tc>
        <w:tc>
          <w:tcPr>
            <w:tcW w:type="dxa" w:w="3402"/>
            <w:shd w:fill="EAF2F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264" w:lineRule="auto"/>
              <w:jc w:val="center"/>
            </w:pPr>
            <w:r>
              <w:rPr>
                <w:rFonts w:ascii="Noto Sans CJK SC" w:hAnsi="Noto Sans CJK SC" w:eastAsia="Noto Sans CJK SC" w:cs="Noto Sans CJK SC"/>
                <w:b/>
                <w:i w:val="0"/>
                <w:color w:val="1F4E79"/>
                <w:sz w:val="19"/>
              </w:rPr>
              <w:t>最低核验</w:t>
            </w:r>
          </w:p>
        </w:tc>
      </w:tr>
      <w:t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命题 A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内部自由度可在某类接口真空中被有效重写为 6 维对称表示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给出一个表示重写样例与边界说明</w:t>
            </w:r>
          </w:p>
        </w:tc>
      </w:tr>
      <w:t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命题 B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存在 π1 主导的一维稳定缺陷样例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给出真空流形与竞争缺陷抑制说明</w:t>
            </w:r>
          </w:p>
        </w:tc>
      </w:tr>
      <w:t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命题 C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五锚筛选前后，候选真空数目与可接受性可比较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给出筛选前/后对比表</w:t>
            </w:r>
          </w:p>
        </w:tc>
      </w:tr>
      <w:tr>
        <w:tc>
          <w:tcPr>
            <w:tcW w:type="dxa" w:w="1247"/>
            <w:tcMar>
              <w:top w:w="85" w:type="dxa"/>
              <w:start w:w="95" w:type="dxa"/>
              <w:bottom w:w="85" w:type="dxa"/>
              <w:end w:w="95" w:type="dxa"/>
            </w:tcMar>
            <w:shd w:fill="F6F8FB"/>
            <w:vAlign w:val="center"/>
          </w:tcPr>
          <w:p>
            <w:pPr>
              <w:spacing w:before="0" w:after="0" w:line="283" w:lineRule="auto"/>
              <w:jc w:val="center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命题 D</w:t>
            </w:r>
          </w:p>
        </w:tc>
        <w:tc>
          <w:tcPr>
            <w:tcW w:type="dxa" w:w="4649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ξ5 可被投影到一个最小开放系统或凝聚态模型</w:t>
            </w:r>
          </w:p>
        </w:tc>
        <w:tc>
          <w:tcPr>
            <w:tcW w:type="dxa" w:w="3402"/>
            <w:tcMar>
              <w:top w:w="85" w:type="dxa"/>
              <w:start w:w="95" w:type="dxa"/>
              <w:bottom w:w="85" w:type="dxa"/>
              <w:end w:w="95" w:type="dxa"/>
            </w:tcMar>
            <w:vAlign w:val="center"/>
          </w:tcPr>
          <w:p>
            <w:pPr>
              <w:spacing w:before="0" w:after="0" w:line="283" w:lineRule="auto"/>
              <w:jc w:val="left"/>
            </w:pPr>
            <w:r>
              <w:rPr>
                <w:rFonts w:ascii="Noto Serif CJK SC" w:hAnsi="Noto Serif CJK SC" w:eastAsia="Noto Serif CJK SC" w:cs="Noto Serif CJK SC"/>
                <w:b w:val="0"/>
                <w:i w:val="0"/>
                <w:sz w:val="18"/>
              </w:rPr>
              <w:t>给出至少一个非厄米或配对模型演示</w:t>
            </w:r>
          </w:p>
        </w:tc>
      </w:tr>
    </w:tbl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并入总纲的位置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在总纲中，第四编目前应被定位为‘高能接口与扩展研究的专题预备章’，而非全书主地基。其功能是提供可能的高能解释出口与约束增强方案，同时为未来是否上升为独立正式卷保留审慎空间。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因此，本章建议的并入方式是：在总纲卷次结构中占据第四编位置；在状态表中标注为‘预备章/接口章，在建’；在未证命题清单中单列其待完成桥梁与核验任务。</w:t>
      </w:r>
    </w:p>
    <w:p>
      <w:pPr>
        <w:pStyle w:val="BNCFTHeading1"/>
        <w:spacing w:before="16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30"/>
        </w:rPr>
        <w:t>English Companion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Positioning and boundary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This chapter is not a terminal proof claiming that BNCFT has strictly derived full superstring theory. It is a topical preparatory chapter for Volume IV. Its task is to bring two already formed high-energy interface lines—the string-like/6D-internal-geometry interface and the 4+6+Xi_5 five-anchor extension—under one construction framework.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The background-free axis of BNCFT is retained, but every use of continuous geometry, BF-type effective action, or a Pati–Salam breaking chain is explicitly treated as interface-layer language rather than the ontic starting point. The purpose is not to evade the issue but to make the bridge from the background-free skeleton to effective continuous language fully explicit.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Ontic, interface and phenomenal layers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To avoid the charge of pseudo-background-freedom, the chapter adopts a three-layer framework: the ontic layer corresponds to the background-free algebraic/discrete skeleton; the interface layer corresponds to a topological–continuous effective language obtained after coarse-graining, stable-phase selection and smoothing; the phenomenal layer corresponds to concrete defects, low-energy gauge structure and observable effects.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Accordingly, any BF-type or similar effective action can only appear as interface-layer expression. It is not the ontic beginning of the theory but a subsequent projection.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SU(4)/Spin(6) algebra bridge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The chapter retains su(4) ≅ so(6) and Spin(6) ≅ SU(4) as the strongest algebraic foothold in the high-energy interface. Its significance is that certain internal degrees of freedom can be rewritten, at the level of representation theory, in a six-dimensional rotational language, thereby providing a structural bridge toward a 6D internal-geometry interpretation.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But the algebraic bridge is not yet a completed geometry. Hence the chapter claims only three construction tasks: how the internal freedom is organised into six-dimensional representations after coarse-graining; why stable or metastable finite internal structure should appear; and whether that structure can be made compatible with chirality, stability and low-energy spectra.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Topological defect dimension selection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The previous interface draft relied too heavily on the analogy ‘strong nonlinearity → flux tube → string-like object’. The revised Volume IV must replace that chain with a harder framework: whether string-like objects exist depends on the dimension selection of stable defects on the vacuum manifold.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If the effective vacuum manifold is M_vac = G/H, then the dimension of stable defects is controlled by the relevant homotopy groups. Volume IV therefore no longer simply announces one-dimensional priority; it asks why π1-dominant line defects survive in the target phase while π0- or π2-type competitors are suppressed, lifted or excluded.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4+6+Xi_5 five-anchor extension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This chapter formally adopts the working notation 4+6+Xi_5. Here ‘4’ denotes the macroscopic effective spacetime dimensions, ‘6’ the internal gauge–geometry interface dimensions, and Xi_5 the five discrete anchoring constraints. The ‘+5’ therefore means not five new geometric dimensions but five successively tightening filters.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The proposed working definitions are: ξ1 vacuum-selection anchor, ξ2 representation/chirality anchor, ξ3 anomaly/consistency anchor, ξ4 topological-defect dimension-selection anchor, and ξ5 openness–dissipation–pairing projection anchor. Their function is not to generate more landscape branches but to reduce the allowed structures.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Relation to low-energy interfaces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On the high-energy side, Volume IV only asks that 4+6+Xi_5 significantly compress candidate vacua and allowed representations; on the low-energy side, it asks only that the same filtering skeleton can be projected into effective languages for open systems, non-Hermitian topological matter and topological superconductivity. The right phrasing is therefore ‘one common constraint skeleton, different effective projections’.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Likewise, Pati–Salam or Standard-Model breaking chains can only be treated here as interface-layer tools for checking representation content, anomalies and low-energy compatibility, not as ontic axioms.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Adjudicable propositions and minimum examples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The urgent need of Volume IV is not further naming but minimum adjudicable propositions. At least the following are needed: Proposition A—a class of interface vacua exists whose internal degrees of freedom can be effectively rewritten in six-dimensional representations; Proposition B—a π1-dominant stable one-dimensional defect example exists; Proposition C—a candidate vacuum set exists for which the five-anchor filtering is measurably compressive; Proposition D—a minimum ξ5 projection exists into an open condensed-matter model.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The examples paired with these propositions should be small but hard: one vacuum-manifold example, one candidate potential class, one pre-/post-filter branch comparison, and one low-energy open-system projection example. If these four examples stand, Volume IV moves from conceptually rich to computationally active.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Placement in the general outline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Within the overall outline, Volume IV should presently be positioned as a ‘topical preparatory chapter for high-energy interfaces and extension studies’, not as the principal foundation of the whole project.</w:t>
      </w:r>
    </w:p>
    <w:p>
      <w:pPr>
        <w:pStyle w:val="BNCFTBody"/>
        <w:spacing w:before="0" w:after="120" w:line="348" w:lineRule="auto"/>
        <w:ind w:firstLine="420"/>
        <w:jc w:val="both"/>
      </w:pPr>
      <w:r>
        <w:rPr>
          <w:rFonts w:ascii="Noto Serif CJK SC" w:hAnsi="Noto Serif CJK SC" w:eastAsia="Noto Serif CJK SC" w:cs="Noto Serif CJK SC"/>
          <w:b w:val="0"/>
          <w:i w:val="0"/>
          <w:sz w:val="22"/>
        </w:rPr>
        <w:t>Its recommended incorporation is therefore: occupy the Volume IV slot in the outline structure; be marked in the status table as ‘preparatory/interface chapter, in progress’; and be listed separately in the unproved-proposition document with its unfinished bridges and verification tasks.</w:t>
      </w:r>
    </w:p>
    <w:p>
      <w:pPr>
        <w:pStyle w:val="BNCFTHeading2"/>
        <w:spacing w:before="80" w:after="120" w:line="276" w:lineRule="auto"/>
        <w:jc w:val="left"/>
      </w:pPr>
      <w:r>
        <w:rPr>
          <w:rFonts w:ascii="Noto Sans CJK SC" w:hAnsi="Noto Sans CJK SC" w:eastAsia="Noto Sans CJK SC" w:cs="Noto Sans CJK SC"/>
          <w:b/>
          <w:i w:val="0"/>
          <w:color w:val="1F4E79"/>
          <w:sz w:val="25"/>
        </w:rPr>
        <w:t>参考资料 / References</w:t>
      </w:r>
    </w:p>
    <w:p>
      <w:pPr>
        <w:pStyle w:val="BNCFTBody"/>
        <w:spacing w:before="0" w:after="40" w:line="288" w:lineRule="auto"/>
        <w:ind w:firstLine="0" w:left="283"/>
      </w:pPr>
      <w:r>
        <w:rPr>
          <w:rFonts w:ascii="Noto Serif CJK SC" w:hAnsi="Noto Serif CJK SC" w:eastAsia="Noto Serif CJK SC" w:cs="Noto Serif CJK SC"/>
          <w:b w:val="0"/>
          <w:i w:val="0"/>
          <w:color w:val="595959"/>
          <w:sz w:val="19"/>
        </w:rPr>
        <w:t>Fermilab News, “Muon g-2 announces most precise measurement of the magnetic anomaly of the muon,” 3 June 2025. Official summary states that the final result reaches 127 parts-per-billion precision and exceeds the original design goal.</w:t>
      </w:r>
    </w:p>
    <w:p>
      <w:pPr>
        <w:pStyle w:val="BNCFTBody"/>
        <w:spacing w:before="0" w:after="40" w:line="288" w:lineRule="auto"/>
        <w:ind w:firstLine="0" w:left="283"/>
      </w:pPr>
      <w:r>
        <w:rPr>
          <w:rFonts w:ascii="Noto Serif CJK SC" w:hAnsi="Noto Serif CJK SC" w:eastAsia="Noto Serif CJK SC" w:cs="Noto Serif CJK SC"/>
          <w:b w:val="0"/>
          <w:i w:val="0"/>
          <w:color w:val="595959"/>
          <w:sz w:val="19"/>
        </w:rPr>
        <w:t>Muon g-2 Theory Initiative, White Paper (2025). Official project page explicitly separates the updated review into Data-Driven HVP, Lattice HVP, Analytic HLbL and Lattice HLbL chapters, reflecting a structured theory-side split.</w:t>
      </w:r>
    </w:p>
    <w:p>
      <w:pPr>
        <w:pStyle w:val="BNCFTBody"/>
        <w:spacing w:before="0" w:after="40" w:line="288" w:lineRule="auto"/>
        <w:ind w:firstLine="0" w:left="283"/>
      </w:pPr>
      <w:r>
        <w:rPr>
          <w:rFonts w:ascii="Noto Serif CJK SC" w:hAnsi="Noto Serif CJK SC" w:eastAsia="Noto Serif CJK SC" w:cs="Noto Serif CJK SC"/>
          <w:b w:val="0"/>
          <w:i w:val="0"/>
          <w:color w:val="595959"/>
          <w:sz w:val="19"/>
        </w:rPr>
        <w:t>Breakthrough Prize, Fundamental Physics Laureates 2026. Official laureates page states that the 2026 Breakthrough Prize in Fundamental Physics is awarded to the Muon g-2 collaborations at CERN, Brookhaven National Laboratory, and Fermilab.</w:t>
      </w:r>
    </w:p>
    <w:p>
      <w:pPr>
        <w:pStyle w:val="BNCFTBody"/>
        <w:spacing w:before="0" w:after="40" w:line="288" w:lineRule="auto"/>
        <w:ind w:firstLine="0" w:left="283"/>
      </w:pPr>
      <w:r>
        <w:rPr>
          <w:rFonts w:ascii="Noto Serif CJK SC" w:hAnsi="Noto Serif CJK SC" w:eastAsia="Noto Serif CJK SC" w:cs="Noto Serif CJK SC"/>
          <w:b w:val="0"/>
          <w:i w:val="0"/>
          <w:color w:val="595959"/>
          <w:sz w:val="19"/>
        </w:rPr>
        <w:t>CERN, “The LHC experiment collaborations at CERN receive Breakthrough Prize,” 7 April 2025. Official release states that ATLAS, CMS, ALICE and LHCb were recognized for detailed measurements of Higgs properties, rare processes, matter–antimatter asymmetry and related Run-2 results.</w:t>
      </w:r>
    </w:p>
    <w:p>
      <w:pPr>
        <w:pStyle w:val="BNCFTBody"/>
        <w:spacing w:before="0" w:after="40" w:line="288" w:lineRule="auto"/>
        <w:ind w:firstLine="0" w:left="283"/>
      </w:pPr>
      <w:r>
        <w:rPr>
          <w:rFonts w:ascii="Noto Serif CJK SC" w:hAnsi="Noto Serif CJK SC" w:eastAsia="Noto Serif CJK SC" w:cs="Noto Serif CJK SC"/>
          <w:b w:val="0"/>
          <w:i w:val="0"/>
          <w:color w:val="595959"/>
          <w:sz w:val="19"/>
        </w:rPr>
        <w:t>ATLAS Experiment at CERN, “A transformative leap in physics: ATLAS results from LHC Run 2,” 7 April 2025. Official feature highlights the precision frontier of Run 2 and the establishment of Higgs couplings to fermions with high-quality data.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36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Noto Sans CJK SC" w:hAnsi="Noto Sans CJK SC" w:eastAsia="Noto Sans CJK SC" w:cs="Noto Sans CJK SC"/>
        <w:b w:val="0"/>
        <w:i w:val="0"/>
        <w:color w:val="595959"/>
        <w:sz w:val="17"/>
      </w:rPr>
      <w:t xml:space="preserve">BNCFT · </w:t>
    </w:r>
    <w:r>
      <w:rPr>
        <w:rFonts w:ascii="Noto Serif CJK SC" w:hAnsi="Noto Serif CJK SC" w:eastAsia="Noto Serif CJK SC" w:cs="Noto Serif CJK SC"/>
        <w:b w:val="0"/>
        <w:i w:val="0"/>
        <w:color w:val="595959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Noto Sans CJK SC" w:hAnsi="Noto Sans CJK SC" w:eastAsia="Noto Sans CJK SC" w:cs="Noto Sans CJK SC"/>
        <w:b w:val="0"/>
        <w:i w:val="0"/>
        <w:color w:val="595959"/>
        <w:sz w:val="17"/>
      </w:rPr>
      <w:t>BNCFT Volume IV Preparatory Chapter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NCFTBody">
    <w:name w:val="BNCFT Body"/>
    <w:rPr>
      <w:rFonts w:ascii="Noto Serif CJK SC" w:hAnsi="Noto Serif CJK SC" w:eastAsia="Noto Serif CJK SC"/>
      <w:sz w:val="22"/>
    </w:rPr>
  </w:style>
  <w:style w:type="paragraph" w:customStyle="1" w:styleId="BNCFTHeading1">
    <w:name w:val="BNCFT Heading 1"/>
    <w:rPr>
      <w:rFonts w:ascii="Noto Sans CJK SC" w:hAnsi="Noto Sans CJK SC" w:eastAsia="Noto Sans CJK SC"/>
      <w:b/>
      <w:color w:val="1F4E79"/>
      <w:sz w:val="30"/>
    </w:rPr>
  </w:style>
  <w:style w:type="paragraph" w:customStyle="1" w:styleId="BNCFTHeading2">
    <w:name w:val="BNCFT Heading 2"/>
    <w:rPr>
      <w:rFonts w:ascii="Noto Sans CJK SC" w:hAnsi="Noto Sans CJK SC" w:eastAsia="Noto Sans CJK SC"/>
      <w:b/>
      <w:color w:val="1F4E79"/>
      <w:sz w:val="2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