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70537">
      <w:pPr>
        <w:pStyle w:val="164"/>
        <w:spacing w:before="200" w:after="60" w:line="288" w:lineRule="auto"/>
        <w:jc w:val="center"/>
      </w:pPr>
      <w:bookmarkStart w:id="0" w:name="_GoBack"/>
      <w:bookmarkEnd w:id="0"/>
      <w:r>
        <w:rPr>
          <w:rFonts w:ascii="Times New Roman" w:hAnsi="Times New Roman" w:eastAsia="Noto Serif CJK SC"/>
          <w:b/>
          <w:i w:val="0"/>
          <w:color w:val="243B5A"/>
          <w:sz w:val="36"/>
        </w:rPr>
        <w:t>BNCFT 第四编预备稿 / 施工提纲（统一改名版）</w:t>
      </w:r>
    </w:p>
    <w:p w14:paraId="1E1D2152">
      <w:pPr>
        <w:spacing w:before="0" w:after="2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4F6B8A"/>
          <w:sz w:val="24"/>
        </w:rPr>
        <w:t>BNCFT Volume IV Preparatory Draft / Construction Outline</w:t>
      </w:r>
    </w:p>
    <w:p w14:paraId="34DDC32C">
      <w:pPr>
        <w:spacing w:before="0" w:after="240" w:line="288" w:lineRule="auto"/>
        <w:jc w:val="center"/>
      </w:pPr>
      <w:r>
        <w:rPr>
          <w:rFonts w:ascii="Times New Roman" w:hAnsi="Times New Roman" w:eastAsia="Noto Serif CJK SC"/>
          <w:b w:val="0"/>
          <w:i w:val="0"/>
          <w:color w:val="666666"/>
          <w:sz w:val="20"/>
        </w:rPr>
        <w:t>由旧第四编预备稿统一改名并校正主线口径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0CF54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97897">
            <w:pPr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理论名称</w:t>
            </w:r>
          </w:p>
        </w:tc>
        <w:tc>
          <w:tcPr>
            <w:tcW w:w="255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62C3A">
            <w:pPr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缩写</w:t>
            </w:r>
          </w:p>
        </w:tc>
        <w:tc>
          <w:tcPr>
            <w:tcW w:w="158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EBF85">
            <w:pPr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版本</w:t>
            </w:r>
          </w:p>
        </w:tc>
        <w:tc>
          <w:tcPr>
            <w:tcW w:w="255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0E2B2">
            <w:pPr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日期</w:t>
            </w:r>
          </w:p>
        </w:tc>
      </w:tr>
      <w:tr w14:paraId="72422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410F2">
            <w:pPr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无背景非线性共享场理论 / Background-Free Nonlinear Common Field Theory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95B26">
            <w:pPr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BNCFT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AF7F9">
            <w:pPr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V2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23598">
            <w:pPr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2026-04-18</w:t>
            </w:r>
          </w:p>
        </w:tc>
      </w:tr>
    </w:tbl>
    <w:p w14:paraId="3138400D"/>
    <w:p w14:paraId="4FA3F11F">
      <w:pPr>
        <w:spacing w:before="160" w:after="80" w:line="288" w:lineRule="auto"/>
      </w:pPr>
      <w:r>
        <w:rPr>
          <w:rFonts w:ascii="Times New Roman" w:hAnsi="Times New Roman" w:eastAsia="Noto Serif CJK SC"/>
          <w:b/>
          <w:i w:val="0"/>
          <w:color w:val="1F3556"/>
          <w:sz w:val="28"/>
        </w:rPr>
        <w:t>中文版</w:t>
      </w:r>
    </w:p>
    <w:p w14:paraId="10092F57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文件定位</w:t>
      </w:r>
    </w:p>
    <w:p w14:paraId="77F48312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本稿对应旧第四编预备稿 / 施工提纲的统一改名版。其功能是在不直接进入终局物理方程的前提下，为第四编提供可施工、可回退、可裁决的动力学接口蓝图。</w:t>
      </w:r>
    </w:p>
    <w:p w14:paraId="679902CD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与更新后的总纲相比，本稿仍偏重‘几何—传播—响应’主线，尚未把质量三分接口上升为卷内第一主轴，因此它保留为第四编的基础施工提纲版本。</w:t>
      </w:r>
    </w:p>
    <w:p w14:paraId="5C6DFF52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第四编身份</w:t>
      </w:r>
    </w:p>
    <w:p w14:paraId="3CDD9AAF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第四编不是终局方程层，而是从离散几何接口走向有效动力学接口的预备层。它的任务，是把第三编中的几何量推进为可进入传播、响应、守恒、源项与连续极限判据的变量。</w:t>
      </w:r>
    </w:p>
    <w:p w14:paraId="65B6FF8E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六项目标</w:t>
      </w:r>
    </w:p>
    <w:p w14:paraId="1040EEAC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定义有效状态变量族。</w:t>
      </w:r>
    </w:p>
    <w:p w14:paraId="0AD7E94E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建立传播律的候选表达。</w:t>
      </w:r>
    </w:p>
    <w:p w14:paraId="168B27FD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建立守恒 / 非守恒判别框架。</w:t>
      </w:r>
    </w:p>
    <w:p w14:paraId="16FFDEBD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形成几何—动力学耦合口径。</w:t>
      </w:r>
    </w:p>
    <w:p w14:paraId="42DA0BA9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给出连续极限前的可比量。</w:t>
      </w:r>
    </w:p>
    <w:p w14:paraId="647DB4D8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形成可计算实验协议。</w:t>
      </w:r>
    </w:p>
    <w:p w14:paraId="1912D718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建议正文结构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948"/>
        <w:gridCol w:w="3969"/>
      </w:tblGrid>
      <w:tr w14:paraId="7036E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E1E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章次</w:t>
            </w:r>
          </w:p>
        </w:tc>
        <w:tc>
          <w:tcPr>
            <w:tcW w:w="294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3DBE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标题</w:t>
            </w:r>
          </w:p>
        </w:tc>
        <w:tc>
          <w:tcPr>
            <w:tcW w:w="3969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C640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主要任务</w:t>
            </w:r>
          </w:p>
        </w:tc>
      </w:tr>
      <w:tr w14:paraId="50570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2D1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第1章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33F2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版本定位与施工总则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183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固定边界、依赖、红线与回退条件</w:t>
            </w:r>
          </w:p>
        </w:tc>
      </w:tr>
      <w:tr w14:paraId="0707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1F9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第2章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F81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有效状态变量的筛选原则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A15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说明哪些量可进入动力学接口</w:t>
            </w:r>
          </w:p>
        </w:tc>
      </w:tr>
      <w:tr w14:paraId="5DF52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590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第2.5章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398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贯穿性最小示例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BD01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提供统一演示场</w:t>
            </w:r>
          </w:p>
        </w:tc>
      </w:tr>
      <w:tr w14:paraId="59562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72E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第3章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05C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传播与响应的最小构造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AB05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建立传播定义与响应函数</w:t>
            </w:r>
          </w:p>
        </w:tc>
      </w:tr>
      <w:tr w14:paraId="357C9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F51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第4章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287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守恒、通量与源项的预备定义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C7B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固定总量、净变化、源项候选</w:t>
            </w:r>
          </w:p>
        </w:tc>
      </w:tr>
      <w:tr w14:paraId="4C746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8CF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第5章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BBF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几何—动力学耦合原型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68B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提出可检验命题</w:t>
            </w:r>
          </w:p>
        </w:tc>
      </w:tr>
      <w:tr w14:paraId="1673F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1815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第6章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EF36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连续极限前判据与变量升级表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2AB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决定哪些量可进入后续连续化</w:t>
            </w:r>
          </w:p>
        </w:tc>
      </w:tr>
      <w:tr w14:paraId="2DADC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557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第7章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2B5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数值施工协议与验收表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E714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形成执行层与回退机制</w:t>
            </w:r>
          </w:p>
        </w:tc>
      </w:tr>
    </w:tbl>
    <w:p w14:paraId="1E31CB34"/>
    <w:p w14:paraId="3C79BBA0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关键技术加固点</w:t>
      </w:r>
    </w:p>
    <w:p w14:paraId="43999BAC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传播框架必须明确拆成纵向因果推进与横向切片展开两轴。</w:t>
      </w:r>
    </w:p>
    <w:p w14:paraId="59BFC658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总量至少保留绝对计数、归一化密度、因果边加权三种候选定义。</w:t>
      </w:r>
    </w:p>
    <w:p w14:paraId="5CCCE96D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源项不能直接由残差命名，必须区分残差项与稳定源项候选。</w:t>
      </w:r>
    </w:p>
    <w:p w14:paraId="57E5EC8D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耦合命题只能来自内部推导或后验归纳，不能凭类比替代构造。</w:t>
      </w:r>
    </w:p>
    <w:p w14:paraId="6FCEDFDB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当前文档地位</w:t>
      </w:r>
    </w:p>
    <w:p w14:paraId="06B798F9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随着第四编整编重写与质量接口章前置，本稿更适合保留为‘第四编基础施工提纲’。它仍有价值，但已不再是第四编的最终主底稿。</w:t>
      </w:r>
    </w:p>
    <w:p w14:paraId="437B1290">
      <w:r>
        <w:br w:type="page"/>
      </w:r>
    </w:p>
    <w:p w14:paraId="72231B93">
      <w:pPr>
        <w:spacing w:before="160" w:after="80" w:line="288" w:lineRule="auto"/>
      </w:pPr>
      <w:r>
        <w:rPr>
          <w:rFonts w:ascii="Times New Roman" w:hAnsi="Times New Roman" w:eastAsia="Noto Serif CJK SC"/>
          <w:b/>
          <w:i w:val="0"/>
          <w:color w:val="1F3556"/>
          <w:sz w:val="28"/>
        </w:rPr>
        <w:t>English Version</w:t>
      </w:r>
    </w:p>
    <w:p w14:paraId="71968741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Document Status</w:t>
      </w:r>
    </w:p>
    <w:p w14:paraId="5611FA0C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This is the unified BNCFT-renamed counterpart of the earlier Volume IV preparatory draft. Its role is to serve as a construction blueprint for the geometry-propagation-response line without prematurely claiming final equations.</w:t>
      </w:r>
    </w:p>
    <w:p w14:paraId="7B5AF9B8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Compared with the later rewritten Volume IV, this draft still foregrounds the geometry-to-dynamics interface rather than the threefold mass interface.</w:t>
      </w:r>
    </w:p>
    <w:p w14:paraId="68B66FDE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Core Role</w:t>
      </w:r>
    </w:p>
    <w:p w14:paraId="398D4B78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Volume IV is not the final-equation layer. It is the preparatory layer that upgrades discrete geometric quantities into variables usable in propagation, response, conservation, source analysis, and pre-continuum criteria.</w:t>
      </w:r>
    </w:p>
    <w:p w14:paraId="0BBFB64C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Seven-Chapter Structure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061"/>
        <w:gridCol w:w="3855"/>
      </w:tblGrid>
      <w:tr w14:paraId="13BF6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01DD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Chapter</w:t>
            </w:r>
          </w:p>
        </w:tc>
        <w:tc>
          <w:tcPr>
            <w:tcW w:w="306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AC8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Title</w:t>
            </w:r>
          </w:p>
        </w:tc>
        <w:tc>
          <w:tcPr>
            <w:tcW w:w="3855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8372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Task</w:t>
            </w:r>
          </w:p>
        </w:tc>
      </w:tr>
      <w:tr w14:paraId="34155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0026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1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2F03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Positioning and construction principles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673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Boundaries, dependencies, red lines, rollback</w:t>
            </w:r>
          </w:p>
        </w:tc>
      </w:tr>
      <w:tr w14:paraId="7E316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445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2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D980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Selection principles for effective state variables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2E7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Which quantities enter the dynamical interface</w:t>
            </w:r>
          </w:p>
        </w:tc>
      </w:tr>
      <w:tr w14:paraId="5677A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224A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2.5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084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Cross-cutting minimal example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703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A unified demonstration ground</w:t>
            </w:r>
          </w:p>
        </w:tc>
      </w:tr>
      <w:tr w14:paraId="0546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E71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3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F8E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Minimal construction of propagation and response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2FF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Propagation definitions and response maps</w:t>
            </w:r>
          </w:p>
        </w:tc>
      </w:tr>
      <w:tr w14:paraId="1BBAC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55C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4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DA9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Preparatory definitions of conservation, flux, and source terms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30A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Total quantity, net change, source candidates</w:t>
            </w:r>
          </w:p>
        </w:tc>
      </w:tr>
      <w:tr w14:paraId="1C608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4C3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5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FE8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Prototype geometry-dynamics couplings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8B6E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Testable propositions</w:t>
            </w:r>
          </w:p>
        </w:tc>
      </w:tr>
      <w:tr w14:paraId="4FF8F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35F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6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64C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Pre-continuum criteria and promotion table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C15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Which variables may continue forward</w:t>
            </w:r>
          </w:p>
        </w:tc>
      </w:tr>
      <w:tr w14:paraId="4365D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5BC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7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031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Numerical protocols and acceptance table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813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Execution and rollback layer</w:t>
            </w:r>
          </w:p>
        </w:tc>
      </w:tr>
    </w:tbl>
    <w:p w14:paraId="16DB8295"/>
    <w:p w14:paraId="1B2818AE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Recommended Strengthening Points</w:t>
      </w:r>
    </w:p>
    <w:p w14:paraId="2A395AC4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Split propagation into longitudinal causal advance and transverse in-slice spreading.</w:t>
      </w:r>
    </w:p>
    <w:p w14:paraId="1713F41A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Compare at least three candidate total-quantity definitions.</w:t>
      </w:r>
    </w:p>
    <w:p w14:paraId="2471A74B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Distinguish residual terms from stable source-term candidates.</w:t>
      </w:r>
    </w:p>
    <w:p w14:paraId="23D4F882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Allow coupling propositions only from internal derivation or falsifiable numerical induction.</w:t>
      </w:r>
    </w:p>
    <w:p w14:paraId="4C4E3681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Current Editorial Status</w:t>
      </w:r>
    </w:p>
    <w:p w14:paraId="22BC8BAE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After the full Volume IV rewrite and the elevation of the mass-interface chapter, this document should be retained as the foundational construction-outline version rather than the final primary draft of Volume IV.</w:t>
      </w:r>
    </w:p>
    <w:sectPr>
      <w:headerReference r:id="rId5" w:type="default"/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955EA">
    <w:pPr>
      <w:pStyle w:val="25"/>
      <w:jc w:val="right"/>
    </w:pPr>
    <w:r>
      <w:rPr>
        <w:rFonts w:ascii="Times New Roman" w:hAnsi="Times New Roman" w:eastAsia="Noto Serif CJK SC"/>
        <w:color w:val="556688"/>
        <w:sz w:val="18"/>
      </w:rPr>
      <w:t>BNCFT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38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Noto Serif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CN"/>
    <w:qFormat/>
    <w:uiPriority w:val="0"/>
    <w:pPr>
      <w:spacing w:after="200" w:line="276" w:lineRule="auto"/>
    </w:pPr>
    <w:rPr>
      <w:rFonts w:ascii="Times New Roman" w:hAnsi="Times New Roman" w:eastAsia="Noto Serif CJK SC" w:cstheme="minorBidi"/>
      <w:b/>
      <w:sz w:val="40"/>
      <w:szCs w:val="22"/>
      <w:lang w:val="en-US" w:eastAsia="en-US" w:bidi="ar-SA"/>
    </w:rPr>
  </w:style>
  <w:style w:type="paragraph" w:customStyle="1" w:styleId="165">
    <w:name w:val="HeadingBlue"/>
    <w:uiPriority w:val="0"/>
    <w:pPr>
      <w:spacing w:after="200" w:line="276" w:lineRule="auto"/>
    </w:pPr>
    <w:rPr>
      <w:rFonts w:ascii="Times New Roman" w:hAnsi="Times New Roman" w:eastAsia="Noto Serif CJK SC" w:cstheme="minorBidi"/>
      <w:b/>
      <w:sz w:val="2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877</Words>
  <Characters>1546</Characters>
  <Lines>0</Lines>
  <Paragraphs>0</Paragraphs>
  <TotalTime>0</TotalTime>
  <ScaleCrop>false</ScaleCrop>
  <LinksUpToDate>false</LinksUpToDate>
  <CharactersWithSpaces>1664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wuqiming</cp:lastModifiedBy>
  <dcterms:modified xsi:type="dcterms:W3CDTF">2026-04-18T05:44:57Z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5EA331E749634FFEA32231DEF2A1F370_13</vt:lpwstr>
  </property>
</Properties>
</file>