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bncft_bell_manuscript_completion_note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BNCFT Bell Manuscript Completion Note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note records the current completion state of the BNCFT Bell-correlation manuscript, the derivation chain now included in the main LaTeX source, and the practical status of the draft as a submission-ready working paper.[cite:82][cite:89]</w:t>
      </w:r>
    </w:p>
    <w:p>
      <w:pPr>
        <w:spacing w:line="360" w:before="315" w:after="105" w:lineRule="auto"/>
        <w:ind w:left="-30"/>
        <w:jc w:val="left"/>
      </w:pPr>
      <w:bookmarkStart w:id="1" w:name="manuscript_stat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Manuscript state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current main source is a Bell manuscript in which the argument has been pushed from narrative form into a proof-oriented structure.[cite:89] The text now contains a topological foundation, a 3D stability argument, a collective-coordinate SU(2) quantization step, a singlet-selection lemma, and a CHSH theorem with both operator and angle-optimization proofs.[cite:89][cite:75]</w:t>
      </w:r>
    </w:p>
    <w:p>
      <w:pPr>
        <w:spacing w:line="360" w:before="315" w:after="105" w:lineRule="auto"/>
        <w:ind w:left="-30"/>
        <w:jc w:val="left"/>
      </w:pPr>
      <w:bookmarkStart w:id="2" w:name="derivation_chai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Derivation chain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manuscript now supports the following chain in the body of the paper.[cite:89]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BNCFT is represented by a minimal O(3)+Skyrme-type realization in three spatial dimensions.[cite:82][cite:89]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Finite-energy boundary conditions compactify space to </w:t>
      </w:r>
      <m:oMath>
        <m:sSup>
          <m:sSupPr>
            <m:ctrlPr>
              <w:rPr>
                <w:rFonts w:ascii="Cambria Math" w:hAnsi="Cambria Math"/>
                <w:color w:val="000000"/>
                <w:sz w:val="21"/>
              </w:rPr>
            </m:ctrlPr>
          </m:sSupPr>
          <m:e>
            <m:r>
              <m:rPr>
                <m:sty m:val="i"/>
              </m:rPr>
              <w:rPr>
                <w:color w:val="000000"/>
                <w:sz w:val="21"/>
              </w:rPr>
              <m:t>S</m:t>
            </m:r>
          </m:e>
          <m:sup>
            <m:r>
              <m:rPr>
                <m:sty m:val="p"/>
              </m:rPr>
              <w:rPr>
                <w:color w:val="000000"/>
                <w:sz w:val="21"/>
              </w:rPr>
              <m:t>3</m:t>
            </m:r>
          </m:sup>
        </m:sSup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, so static field configurations define maps </w:t>
      </w:r>
      <m:oMath>
        <m:sSup>
          <m:sSupPr>
            <m:ctrlPr>
              <w:rPr>
                <w:rFonts w:ascii="Cambria Math" w:hAnsi="Cambria Math"/>
                <w:color w:val="000000"/>
                <w:sz w:val="21"/>
              </w:rPr>
            </m:ctrlPr>
          </m:sSupPr>
          <m:e>
            <m:r>
              <m:rPr>
                <m:sty m:val="i"/>
              </m:rPr>
              <w:rPr>
                <w:color w:val="000000"/>
                <w:sz w:val="21"/>
              </w:rPr>
              <m:t>S</m:t>
            </m:r>
          </m:e>
          <m:sup>
            <m:r>
              <m:rPr>
                <m:sty m:val="p"/>
              </m:rPr>
              <w:rPr>
                <w:color w:val="000000"/>
                <w:sz w:val="21"/>
              </w:rPr>
              <m:t>3</m:t>
            </m:r>
          </m:sup>
        </m:sSup>
        <m:r>
          <m:rPr>
            <m:sty m:val="i"/>
          </m:rPr>
          <w:rPr>
            <w:color w:val="000000"/>
            <w:sz w:val="21"/>
          </w:rPr>
          <m:t>o</m:t>
        </m:r>
        <m:sSup>
          <m:sSupPr>
            <m:ctrlPr>
              <w:rPr>
                <w:rFonts w:ascii="Cambria Math" w:hAnsi="Cambria Math"/>
                <w:color w:val="000000"/>
                <w:sz w:val="21"/>
              </w:rPr>
            </m:ctrlPr>
          </m:sSupPr>
          <m:e>
            <m:r>
              <m:rPr>
                <m:sty m:val="i"/>
              </m:rPr>
              <w:rPr>
                <w:color w:val="000000"/>
                <w:sz w:val="21"/>
              </w:rPr>
              <m:t>S</m:t>
            </m:r>
          </m:e>
          <m:sup>
            <m:r>
              <m:rPr>
                <m:sty m:val="p"/>
              </m:rPr>
              <w:rPr>
                <w:color w:val="000000"/>
                <w:sz w:val="21"/>
              </w:rPr>
              <m:t>2</m:t>
            </m:r>
          </m:sup>
        </m:sSup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classified by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π</m:t>
            </m:r>
          </m:e>
          <m:sub>
            <m:r>
              <m:rPr>
                <m:sty m:val="p"/>
              </m:rPr>
              <w:rPr>
                <w:color w:val="000000"/>
                <w:sz w:val="21"/>
              </w:rPr>
              <m:t>3</m:t>
            </m:r>
          </m:sub>
        </m:sSub>
        <m:r>
          <m:rPr>
            <m:sty m:val="p"/>
          </m:rPr>
          <w:rPr>
            <w:color w:val="000000"/>
            <w:sz w:val="21"/>
          </w:rPr>
          <m:t>(</m:t>
        </m:r>
        <m:sSup>
          <m:sSupPr>
            <m:ctrlPr>
              <w:rPr>
                <w:rFonts w:ascii="Cambria Math" w:hAnsi="Cambria Math"/>
                <w:color w:val="000000"/>
                <w:sz w:val="21"/>
              </w:rPr>
            </m:ctrlPr>
          </m:sSupPr>
          <m:e>
            <m:r>
              <m:rPr>
                <m:sty m:val="i"/>
              </m:rPr>
              <w:rPr>
                <w:color w:val="000000"/>
                <w:sz w:val="21"/>
              </w:rPr>
              <m:t>S</m:t>
            </m:r>
          </m:e>
          <m:sup>
            <m:r>
              <m:rPr>
                <m:sty m:val="p"/>
              </m:rPr>
              <w:rPr>
                <w:color w:val="000000"/>
                <w:sz w:val="21"/>
              </w:rPr>
              <m:t>2</m:t>
            </m:r>
          </m:sup>
        </m:sSup>
        <m:r>
          <m:rPr>
            <m:sty m:val="p"/>
          </m:rPr>
          <w:rPr>
            <w:color w:val="000000"/>
            <w:sz w:val="21"/>
          </w:rPr>
          <m:t>)</m:t>
        </m:r>
        <m:r>
          <m:rPr>
            <m:sty m:val="p"/>
          </m:rPr>
          <w:rPr>
            <w:color w:val="000000"/>
            <w:sz w:val="21"/>
          </w:rPr>
          <m:t>≅</m:t>
        </m:r>
        <m:r>
          <m:rPr>
            <m:scr m:val="double-struck"/>
          </m:rPr>
          <w:rPr>
            <w:color w:val="000000"/>
            <w:sz w:val="21"/>
          </w:rPr>
          <m:t>Z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.[cite:82][cite:89]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Derrick scaling excludes stable finite-size 3D solitons in the pure quadratic sigma model, while the Skyrme term restores a finite-size minimum through the scaling balance </w:t>
      </w:r>
      <m:oMath>
        <m:r>
          <m:rPr>
            <m:sty m:val="i"/>
          </m:rPr>
          <w:rPr>
            <w:color w:val="000000"/>
            <w:sz w:val="21"/>
          </w:rPr>
          <m:t>E</m:t>
        </m:r>
        <m:r>
          <m:rPr>
            <m:sty m:val="p"/>
          </m:rPr>
          <w:rPr>
            <w:color w:val="000000"/>
            <w:sz w:val="21"/>
          </w:rPr>
          <m:t>(</m:t>
        </m:r>
        <m:r>
          <m:rPr>
            <m:sty m:val="i"/>
          </m:rPr>
          <w:rPr>
            <w:color w:val="000000"/>
            <w:sz w:val="21"/>
          </w:rPr>
          <m:t>λ</m:t>
        </m:r>
        <m:r>
          <m:rPr>
            <m:sty m:val="p"/>
          </m:rPr>
          <w:rPr>
            <w:color w:val="000000"/>
            <w:sz w:val="21"/>
          </w:rPr>
          <m:t>)</m:t>
        </m:r>
        <m:r>
          <m:rPr>
            <m:sty m:val="p"/>
          </m:rPr>
          <w:rPr>
            <w:color w:val="000000"/>
            <w:sz w:val="21"/>
          </w:rPr>
          <m:t>∼</m:t>
        </m:r>
        <m:r>
          <m:rPr>
            <m:sty m:val="i"/>
          </m:rPr>
          <w:rPr>
            <w:color w:val="000000"/>
            <w:sz w:val="21"/>
          </w:rPr>
          <m:t>A</m:t>
        </m:r>
        <m:sSup>
          <m:sSupPr>
            <m:ctrlPr>
              <w:rPr>
                <w:rFonts w:ascii="Cambria Math" w:hAnsi="Cambria Math"/>
                <w:color w:val="000000"/>
                <w:sz w:val="21"/>
              </w:rPr>
            </m:ctrlPr>
          </m:sSupPr>
          <m:e>
            <m:r>
              <m:rPr>
                <m:sty m:val="i"/>
              </m:rPr>
              <w:rPr>
                <w:color w:val="000000"/>
                <w:sz w:val="21"/>
              </w:rPr>
              <m:t>λ</m:t>
            </m:r>
          </m:e>
          <m:sup>
            <m:r>
              <m:rPr>
                <m:sty m:val="p"/>
              </m:rPr>
              <w:rPr>
                <w:color w:val="000000"/>
                <w:sz w:val="21"/>
              </w:rPr>
              <m:t>−</m:t>
            </m:r>
            <m:r>
              <m:rPr>
                <m:sty m:val="p"/>
              </m:rPr>
              <w:rPr>
                <w:color w:val="000000"/>
                <w:sz w:val="21"/>
              </w:rPr>
              <m:t>1</m:t>
            </m:r>
          </m:sup>
        </m:sSup>
        <m:r>
          <m:rPr>
            <m:sty m:val="p"/>
          </m:rPr>
          <w:rPr>
            <w:color w:val="000000"/>
            <w:sz w:val="21"/>
          </w:rPr>
          <m:t>+</m:t>
        </m:r>
        <m:r>
          <m:rPr>
            <m:sty m:val="i"/>
          </m:rPr>
          <w:rPr>
            <w:color w:val="000000"/>
            <w:sz w:val="21"/>
          </w:rPr>
          <m:t>B</m:t>
        </m:r>
        <m:r>
          <m:rPr>
            <m:sty m:val="i"/>
          </m:rPr>
          <w:rPr>
            <w:color w:val="000000"/>
            <w:sz w:val="21"/>
          </w:rPr>
          <m:t>λ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.[cite:82][cite:89]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Stable localized configurations therefore admit rotational zero modes and an SU(2) collective-coordinate description.[cite:89]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FR constraint on odd topological charge yields spinorial behavior and selects the physically admissible singlet sector for a neutral soliton--antisoliton pair.[cite:75][cite:89]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SU(2) measurement operators acting on that singlet give the isotropic correlation law </w:t>
      </w:r>
      <m:oMath>
        <m:r>
          <m:rPr>
            <m:sty m:val="i"/>
          </m:rPr>
          <w:rPr>
            <w:color w:val="000000"/>
            <w:sz w:val="21"/>
          </w:rPr>
          <m:t>E</m:t>
        </m:r>
        <m:r>
          <m:rPr>
            <m:sty m:val="p"/>
          </m:rPr>
          <w:rPr>
            <w:color w:val="000000"/>
            <w:sz w:val="21"/>
          </w:rPr>
          <m:t>(</m:t>
        </m:r>
        <m:r>
          <m:rPr>
            <m:sty m:val="b"/>
          </m:rPr>
          <w:rPr>
            <w:color w:val="000000"/>
            <w:sz w:val="21"/>
          </w:rPr>
          <m:t>a</m:t>
        </m:r>
        <m:r>
          <m:rPr>
            <m:sty m:val="p"/>
          </m:rPr>
          <w:rPr>
            <w:color w:val="000000"/>
            <w:sz w:val="21"/>
          </w:rPr>
          <m:t>,</m:t>
        </m:r>
        <m:r>
          <m:rPr>
            <m:sty m:val="b"/>
          </m:rPr>
          <w:rPr>
            <w:color w:val="000000"/>
            <w:sz w:val="21"/>
          </w:rPr>
          <m:t>b</m:t>
        </m:r>
        <m:r>
          <m:rPr>
            <m:sty m:val="p"/>
          </m:rPr>
          <w:rPr>
            <w:color w:val="000000"/>
            <w:sz w:val="21"/>
          </w:rPr>
          <m:t>)</m:t>
        </m:r>
        <m:r>
          <m:rPr>
            <m:sty m:val="p"/>
          </m:rPr>
          <w:rPr>
            <w:color w:val="000000"/>
            <w:sz w:val="21"/>
          </w:rPr>
          <m:t>=</m:t>
        </m:r>
        <m:r>
          <m:rPr>
            <m:sty m:val="p"/>
          </m:rPr>
          <w:rPr>
            <w:color w:val="000000"/>
            <w:sz w:val="21"/>
          </w:rPr>
          <m:t>−</m:t>
        </m:r>
        <m:r>
          <m:rPr>
            <m:sty m:val="b"/>
          </m:rPr>
          <w:rPr>
            <w:color w:val="000000"/>
            <w:sz w:val="21"/>
          </w:rPr>
          <m:t>a</m:t>
        </m:r>
        <m:r>
          <m:rPr>
            <m:sty m:val="p"/>
          </m:rPr>
          <w:rPr>
            <w:color w:val="000000"/>
            <w:sz w:val="21"/>
          </w:rPr>
          <m:t>⋅</m:t>
        </m:r>
        <m:r>
          <m:rPr>
            <m:sty m:val="b"/>
          </m:rPr>
          <w:rPr>
            <w:color w:val="000000"/>
            <w:sz w:val="21"/>
          </w:rPr>
          <m:t>b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.[cite:75][cite:89]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CHSH combination is then maximized by coplanar settings separated by 45 degrees, giving the Tsirelson value </w:t>
      </w:r>
      <m:oMath>
        <m:r>
          <m:rPr>
            <m:sty m:val="p"/>
          </m:rPr>
          <w:rPr>
            <w:color w:val="000000"/>
            <w:sz w:val="21"/>
          </w:rPr>
          <m:t>2</m:t>
        </m:r>
        <m:rad>
          <m:radPr>
            <m:degHide m:val="1"/>
            <m:ctrlPr>
              <w:rPr>
                <w:rFonts w:ascii="Cambria Math" w:hAnsi="Cambria Math"/>
                <w:color w:val="000000"/>
                <w:sz w:val="21"/>
              </w:rPr>
            </m:ctrlPr>
          </m:radPr>
          <m:deg/>
          <m:e>
            <m:r>
              <m:rPr>
                <m:sty m:val="p"/>
              </m:rPr>
              <w:rPr>
                <w:color w:val="000000"/>
                <w:sz w:val="21"/>
              </w:rPr>
              <m:t>2</m:t>
            </m:r>
          </m:e>
        </m:rad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.[cite:89][cite:58]</w:t>
      </w:r>
    </w:p>
    <w:p>
      <w:pPr>
        <w:spacing w:line="360" w:before="315" w:after="105" w:lineRule="auto"/>
        <w:ind w:left="-30"/>
        <w:jc w:val="left"/>
      </w:pPr>
      <w:bookmarkStart w:id="3" w:name="new_completion_ste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New completion step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last missing derivation gap in the Bell section was the angle optimization itself.[cite:75] That gap is now closed in the current source by reducing the CHSH expression to a two-angle form, choosing a symmetric parametrization, and proving that the maximum occurs at 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m:rPr>
                <m:sty m:val="i"/>
              </m:rPr>
              <w:rPr>
                <w:color w:val="000000"/>
              </w:rPr>
              <m:t>a</m:t>
            </m:r>
          </m:e>
          <m:sup>
            <m:r>
              <m:rPr>
                <m:sty m:val="p"/>
              </m:rPr>
              <w:rPr>
                <w:color w:val="000000"/>
              </w:rPr>
              <m:t>′</m:t>
            </m:r>
          </m:sup>
        </m:sSup>
        <m:r>
          <m:rPr>
            <m:sty m:val="p"/>
          </m:rPr>
          <w:rPr>
            <w:color w:val="000000"/>
          </w:rPr>
          <m:t>=</m:t>
        </m:r>
        <m:r>
          <m:rPr>
            <m:sty m:val="i"/>
          </m:rPr>
          <w:rPr>
            <w:color w:val="000000"/>
          </w:rPr>
          <m:t>π</m:t>
        </m:r>
        <m:r>
          <m:rPr>
            <m:sty m:val="p"/>
          </m:rPr>
          <w:rPr>
            <w:color w:val="000000"/>
          </w:rPr>
          <m:t>/</m:t>
        </m:r>
        <m:r>
          <m:rPr>
            <m:sty m:val="p"/>
          </m:rPr>
          <w:rPr>
            <w:color w:val="000000"/>
          </w:rPr>
          <m:t>2</m:t>
        </m:r>
      </m:oMath>
      <w:r>
        <w:rPr>
          <w:rFonts w:eastAsia="source serif 4" w:cs="source serif 4" w:ascii="source serif 4" w:hAnsi="source serif 4"/>
          <w:color w:val="000000"/>
        </w:rPr>
        <w:t xml:space="preserve"> and </w:t>
      </w:r>
      <m:oMath>
        <m:r>
          <m:rPr>
            <m:sty m:val="i"/>
          </m:rPr>
          <w:rPr>
            <w:color w:val="000000"/>
          </w:rPr>
          <m:t>b</m:t>
        </m:r>
        <m:r>
          <m:rPr>
            <m:sty m:val="p"/>
          </m:rPr>
          <w:rPr>
            <w:color w:val="000000"/>
          </w:rPr>
          <m:t>,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m:rPr>
                <m:sty m:val="i"/>
              </m:rPr>
              <w:rPr>
                <w:color w:val="000000"/>
              </w:rPr>
              <m:t>b</m:t>
            </m:r>
          </m:e>
          <m:sup>
            <m:r>
              <m:rPr>
                <m:sty m:val="p"/>
              </m:rPr>
              <w:rPr>
                <w:color w:val="000000"/>
              </w:rPr>
              <m:t>′</m:t>
            </m:r>
          </m:sup>
        </m:sSup>
      </m:oMath>
      <w:r>
        <w:rPr>
          <w:rFonts w:eastAsia="source serif 4" w:cs="source serif 4" w:ascii="source serif 4" w:hAnsi="source serif 4"/>
          <w:color w:val="000000"/>
        </w:rPr>
        <w:t xml:space="preserve"> displaced by </w:t>
      </w:r>
      <m:oMath>
        <m:r>
          <m:rPr>
            <m:sty m:val="p"/>
          </m:rPr>
          <w:rPr>
            <w:color w:val="000000"/>
          </w:rPr>
          <m:t>±</m:t>
        </m:r>
        <m:r>
          <m:rPr>
            <m:sty m:val="i"/>
          </m:rPr>
          <w:rPr>
            <w:color w:val="000000"/>
          </w:rPr>
          <m:t>π</m:t>
        </m:r>
        <m:r>
          <m:rPr>
            <m:sty m:val="p"/>
          </m:rPr>
          <w:rPr>
            <w:color w:val="000000"/>
          </w:rPr>
          <m:t>/</m:t>
        </m:r>
        <m:r>
          <m:rPr>
            <m:sty m:val="p"/>
          </m:rPr>
          <w:rPr>
            <w:color w:val="000000"/>
          </w:rPr>
          <m:t>4</m:t>
        </m:r>
      </m:oMath>
      <w:r>
        <w:rPr>
          <w:rFonts w:eastAsia="source serif 4" w:cs="source serif 4" w:ascii="source serif 4" w:hAnsi="source serif 4"/>
          <w:color w:val="000000"/>
        </w:rPr>
        <w:t xml:space="preserve"> from </w:t>
      </w:r>
      <m:oMath>
        <m:r>
          <m:rPr>
            <m:sty m:val="i"/>
          </m:rPr>
          <w:rPr>
            <w:color w:val="000000"/>
          </w:rPr>
          <m:t>a</m:t>
        </m:r>
      </m:oMath>
      <w:r>
        <w:rPr>
          <w:rFonts w:eastAsia="source serif 4" w:cs="source serif 4" w:ascii="source serif 4" w:hAnsi="source serif 4"/>
          <w:color w:val="000000"/>
        </w:rPr>
        <w:t xml:space="preserve">.[cite:89]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matters because the earlier draft showed the standard maximizing angles but did not yet derive them from the general expression.[cite:75] The current draft therefore supports both forms of the result: an operator proof of the Tsirelson bound and an explicit angle-based maximization proof.[cite:89]</w:t>
      </w:r>
    </w:p>
    <w:p>
      <w:pPr>
        <w:spacing w:line="360" w:before="315" w:after="105" w:lineRule="auto"/>
        <w:ind w:left="-30"/>
        <w:jc w:val="left"/>
      </w:pPr>
      <w:bookmarkStart w:id="4" w:name="submission_readines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Submission readiness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manuscript is now complete enough to function as a coherent working paper.[cite:89] The core logic is no longer dependent on omitted intermediate steps, and the Bell result is embedded in a broader topological and field-theoretic argument rather than appearing as a standalone imported formula.[cite:82][cite:89]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main limitations remain empirical rather than logical.[cite:76][cite:89] The current direct numerical support still comes from the simplified 1D kink model and phenomenological estimates, not from a full 3D O(3)+Skyrme simulation with extracted inertia parameter and explicit two-soliton dynamics.[cite:52][cite:76][cite:89]</w:t>
      </w:r>
    </w:p>
    <w:p>
      <w:pPr>
        <w:spacing w:line="360" w:before="315" w:after="105" w:lineRule="auto"/>
        <w:ind w:left="-30"/>
        <w:jc w:val="left"/>
      </w:pPr>
      <w:bookmarkStart w:id="5" w:name="remaining_practical_task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Remaining practical tasks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Why it matters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Current 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Compile final LaTeX and inspect warnings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Removes formatting and cross-reference errors before distribution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Pending [cite:89]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Standardize bibliography and citation style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Needed for formal submission polish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Pending [cite:89]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Add a short author abstract revision 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Improves readability for non-specialist readers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Pending [cite:89]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Start full 3D numerical program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Converts the framework from analytic proposal to simulation-backed theory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Pending [cite:51][cite:52][cite:89]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Derive or compute the collective inertia </w:t>
            </w:r>
            <m:oMath>
              <m:r>
                <m:rPr>
                  <m:sty m:val="p"/>
                </m:rPr>
                <w:rPr>
                  <w:color w:val="000000"/>
                  <w:sz w:val="17"/>
                </w:rPr>
                <m:t>Λ</m:t>
              </m:r>
            </m:oMath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from explicit 3D profiles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Closes the link between soliton profile and quantized Hamiltonian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Pending [cite:89]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" w:name="assess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Assessment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 the present stage, the manuscript is complete as an analytic draft and can be treated as a full paper rather than a fragmentary note.[cite:89] The next stage is editorial and computational: tighten presentation, compile carefully, and then use a second paper to supply the full 3D numerical confirmation program.[cite:76][cite:89]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2026-06-09T23:20:56.400Z</dcterms:created>
  <dcterms:modified xsi:type="dcterms:W3CDTF">2026-06-09T23:20:56.400Z</dcterms:modified>
</cp:coreProperties>
</file>