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ncft_bell_paper_progress_note"/>
      <w:r>
        <w:rPr>
          <w:rFonts w:eastAsia="source serif 4" w:cs="source serif 4" w:ascii="source serif 4" w:hAnsi="source serif 4"/>
          <w:b/>
          <w:color w:val="000000"/>
          <w:sz w:val="39"/>
        </w:rPr>
        <w:t xml:space="preserve">BNCFT Bell Paper Progress Note</w:t>
      </w:r>
      <w:bookmarkEnd w:id="0"/>
    </w:p>
    <w:p>
      <w:pPr>
        <w:spacing w:line="360" w:after="210" w:lineRule="auto"/>
      </w:pPr>
      <w:r>
        <w:rPr>
          <w:rFonts w:eastAsia="source serif 4" w:cs="source serif 4" w:ascii="source serif 4" w:hAnsi="source serif 4"/>
          <w:color w:val="000000"/>
        </w:rPr>
        <w:t xml:space="preserve">This note summarizes the current state of the BNCFT Bell-correlation manuscript, the derivation chain now in place, and the next technical steps for arXiv submission and 3D validation work.[cite:56][cite:51][cite:52]</w:t>
      </w:r>
    </w:p>
    <w:p>
      <w:pPr>
        <w:spacing w:line="360" w:before="315" w:after="105" w:lineRule="auto"/>
        <w:ind w:left="-30"/>
        <w:jc w:val="left"/>
      </w:pPr>
      <w:bookmarkStart w:id="1" w:name="current_manuscript_state"/>
      <w:r>
        <w:rPr>
          <w:rFonts w:eastAsia="source serif 4" w:cs="source serif 4" w:ascii="source serif 4" w:hAnsi="source serif 4"/>
          <w:b/>
          <w:color w:val="000000"/>
          <w:sz w:val="24"/>
        </w:rPr>
        <w:t xml:space="preserve">Current manuscript state</w:t>
      </w:r>
      <w:bookmarkEnd w:id="1"/>
    </w:p>
    <w:p>
      <w:pPr>
        <w:spacing w:line="360" w:after="210" w:lineRule="auto"/>
      </w:pPr>
      <w:r>
        <w:rPr>
          <w:rFonts w:eastAsia="source serif 4" w:cs="source serif 4" w:ascii="source serif 4" w:hAnsi="source serif 4"/>
          <w:color w:val="000000"/>
        </w:rPr>
        <w:t xml:space="preserve">The manuscript now contains a closed derivation chain from BNCFT postulates to CHSH </w:t>
      </w:r>
      <m:oMath>
        <m:r>
          <m:rPr>
            <m:sty m:val="p"/>
          </m:rPr>
          <w:rPr>
            <w:color w:val="000000"/>
          </w:rPr>
          <m:t>2</m:t>
        </m:r>
        <m:rad>
          <m:radPr>
            <m:degHide m:val="1"/>
            <m:ctrlPr>
              <w:rPr>
                <w:rFonts w:ascii="Cambria Math" w:hAnsi="Cambria Math"/>
                <w:color w:val="000000"/>
              </w:rPr>
            </m:ctrlPr>
          </m:radPr>
          <m:deg/>
          <m:e>
            <m:r>
              <m:rPr>
                <m:sty m:val="p"/>
              </m:rPr>
              <w:rPr>
                <w:color w:val="000000"/>
              </w:rPr>
              <m:t>2</m:t>
            </m:r>
          </m:e>
        </m:rad>
      </m:oMath>
      <w:r>
        <w:rPr>
          <w:rFonts w:eastAsia="source serif 4" w:cs="source serif 4" w:ascii="source serif 4" w:hAnsi="source serif 4"/>
          <w:color w:val="000000"/>
        </w:rPr>
        <w:t xml:space="preserve">: field structure </w:t>
      </w:r>
      <m:oMath>
        <m:r>
          <m:rPr>
            <m:sty m:val="b"/>
          </m:rPr>
          <w:rPr>
            <w:color w:val="000000"/>
          </w:rPr>
          <m:t>n</m:t>
        </m:r>
        <m:r>
          <m:rPr>
            <m:sty m:val="p"/>
          </m:rPr>
          <w:rPr>
            <w:color w:val="000000"/>
          </w:rPr>
          <m:t>∈</m:t>
        </m:r>
        <m:sSup>
          <m:sSupPr>
            <m:ctrlPr>
              <w:rPr>
                <w:rFonts w:ascii="Cambria Math" w:hAnsi="Cambria Math"/>
                <w:color w:val="000000"/>
              </w:rPr>
            </m:ctrlPr>
          </m:sSupPr>
          <m:e>
            <m:r>
              <m:rPr>
                <m:sty m:val="i"/>
              </m:rPr>
              <w:rPr>
                <w:color w:val="000000"/>
              </w:rPr>
              <m:t>S</m:t>
            </m:r>
          </m:e>
          <m:sup>
            <m:r>
              <m:rPr>
                <m:sty m:val="p"/>
              </m:rPr>
              <w:rPr>
                <w:color w:val="000000"/>
              </w:rPr>
              <m:t>2</m:t>
            </m:r>
          </m:sup>
        </m:sSup>
      </m:oMath>
      <w:r>
        <w:rPr>
          <w:rFonts w:eastAsia="source serif 4" w:cs="source serif 4" w:ascii="source serif 4" w:hAnsi="source serif 4"/>
          <w:color w:val="000000"/>
        </w:rPr>
        <w:t xml:space="preserve">, topological solitons, rotational zero modes, SU(2) collective-coordinate quantization, FR spinor constraint, singlet selection, and the Tsirelson bound.[cite:56]</w:t>
      </w:r>
    </w:p>
    <w:p>
      <w:pPr>
        <w:spacing w:line="360" w:after="210" w:lineRule="auto"/>
      </w:pPr>
      <w:r>
        <w:rPr>
          <w:rFonts w:eastAsia="source serif 4" w:cs="source serif 4" w:ascii="source serif 4" w:hAnsi="source serif 4"/>
          <w:color w:val="000000"/>
        </w:rPr>
        <w:t xml:space="preserve">The main strengthening over the earlier draft is that the mother equation is no longer schematic. It is written explicitly as an O(3) nonlinear sigma model with a Skyrme stabilization term, together with the statement that the Skyrme term is required in three spatial dimensions to avoid collapse under Derrick scaling.[cite:51][cite:56]</w:t>
      </w:r>
    </w:p>
    <w:p>
      <w:pPr>
        <w:spacing w:line="360" w:before="315" w:after="105" w:lineRule="auto"/>
        <w:ind w:left="-30"/>
        <w:jc w:val="left"/>
      </w:pPr>
      <w:bookmarkStart w:id="2" w:name="derivation_layers"/>
      <w:r>
        <w:rPr>
          <w:rFonts w:eastAsia="source serif 4" w:cs="source serif 4" w:ascii="source serif 4" w:hAnsi="source serif 4"/>
          <w:b/>
          <w:color w:val="000000"/>
          <w:sz w:val="24"/>
        </w:rPr>
        <w:t xml:space="preserve">Derivation layers</w:t>
      </w:r>
      <w:bookmarkEnd w:id="2"/>
    </w:p>
    <w:p>
      <w:pPr>
        <w:spacing w:line="360" w:after="210" w:lineRule="auto"/>
      </w:pPr>
      <w:r>
        <w:rPr>
          <w:rFonts w:eastAsia="source serif 4" w:cs="source serif 4" w:ascii="source serif 4" w:hAnsi="source serif 4"/>
          <w:color w:val="000000"/>
        </w:rPr>
        <w:t xml:space="preserve">The Bell section now has three independent support layers.</w:t>
      </w:r>
    </w:p>
    <w:p>
      <w:pPr>
        <w:numPr>
          <w:ilvl w:val="0"/>
          <w:numId w:val="1"/>
        </w:numPr>
        <w:spacing w:line="360" w:before="105" w:after="105" w:lineRule="auto"/>
      </w:pPr>
      <w:r>
        <w:rPr>
          <w:rFonts w:eastAsia="source serif 4" w:cs="source serif 4" w:ascii="source serif 4" w:hAnsi="source serif 4"/>
          <w:color w:val="000000"/>
          <w:sz w:val="21"/>
        </w:rPr>
        <w:t xml:space="preserve">A topology-to-spin layer: odd topological charge plus the Finkelstein--Rubinstein constraint gives half-integer spin and 720° periodicity.[cite:56][cite:51]</w:t>
      </w:r>
    </w:p>
    <w:p>
      <w:pPr>
        <w:numPr>
          <w:ilvl w:val="0"/>
          <w:numId w:val="1"/>
        </w:numPr>
        <w:spacing w:line="360" w:before="105" w:after="105" w:lineRule="auto"/>
      </w:pPr>
      <w:r>
        <w:rPr>
          <w:rFonts w:eastAsia="source serif 4" w:cs="source serif 4" w:ascii="source serif 4" w:hAnsi="source serif 4"/>
          <w:color w:val="000000"/>
          <w:sz w:val="21"/>
        </w:rPr>
        <w:t xml:space="preserve">A spin-to-singlet layer: a neutral soliton--antisoliton pair is forced into the SU(2) singlet sector rather than the triplet sector.[cite:56]</w:t>
      </w:r>
    </w:p>
    <w:p>
      <w:pPr>
        <w:numPr>
          <w:ilvl w:val="0"/>
          <w:numId w:val="1"/>
        </w:numPr>
        <w:spacing w:line="360" w:before="105" w:after="105" w:lineRule="auto"/>
      </w:pPr>
      <w:r>
        <w:rPr>
          <w:rFonts w:eastAsia="source serif 4" w:cs="source serif 4" w:ascii="source serif 4" w:hAnsi="source serif 4"/>
          <w:color w:val="000000"/>
          <w:sz w:val="21"/>
        </w:rPr>
        <w:t xml:space="preserve">A singlet-to-Bell layer: SU(2) measurement operators acting on the singlet reproduce </w:t>
      </w:r>
      <m:oMath>
        <m:r>
          <m:rPr>
            <m:sty m:val="i"/>
          </m:rPr>
          <w:rPr>
            <w:color w:val="000000"/>
            <w:sz w:val="21"/>
          </w:rPr>
          <m:t>E</m:t>
        </m:r>
        <m:r>
          <m:rPr>
            <m:sty m:val="p"/>
          </m:rPr>
          <w:rPr>
            <w:color w:val="000000"/>
            <w:sz w:val="21"/>
          </w:rPr>
          <m:t>(</m:t>
        </m:r>
        <m:r>
          <m:rPr>
            <m:sty m:val="i"/>
          </m:rPr>
          <w:rPr>
            <w:color w:val="000000"/>
            <w:sz w:val="21"/>
          </w:rPr>
          <m:t>a</m:t>
        </m:r>
        <m:r>
          <m:rPr>
            <m:sty m:val="p"/>
          </m:rPr>
          <w:rPr>
            <w:color w:val="000000"/>
            <w:sz w:val="21"/>
          </w:rPr>
          <m:t>,</m:t>
        </m:r>
        <m:r>
          <m:rPr>
            <m:sty m:val="i"/>
          </m:rPr>
          <w:rPr>
            <w:color w:val="000000"/>
            <w:sz w:val="21"/>
          </w:rPr>
          <m:t>b</m:t>
        </m:r>
        <m:r>
          <m:rPr>
            <m:sty m:val="p"/>
          </m:rPr>
          <w:rPr>
            <w:color w:val="000000"/>
            <w:sz w:val="21"/>
          </w:rPr>
          <m:t>)</m:t>
        </m:r>
        <m:r>
          <m:rPr>
            <m:sty m:val="p"/>
          </m:rPr>
          <w:rPr>
            <w:color w:val="000000"/>
            <w:sz w:val="21"/>
          </w:rPr>
          <m:t>=</m:t>
        </m:r>
        <m:r>
          <m:rPr>
            <m:sty m:val="p"/>
          </m:rPr>
          <w:rPr>
            <w:color w:val="000000"/>
            <w:sz w:val="21"/>
          </w:rPr>
          <m:t>−</m:t>
        </m:r>
        <m:r>
          <m:rPr>
            <m:sty m:val="b"/>
          </m:rPr>
          <w:rPr>
            <w:color w:val="000000"/>
            <w:sz w:val="21"/>
          </w:rPr>
          <m:t>a</m:t>
        </m:r>
        <m:r>
          <m:rPr>
            <m:sty m:val="p"/>
          </m:rPr>
          <w:rPr>
            <w:color w:val="000000"/>
            <w:sz w:val="21"/>
          </w:rPr>
          <m:t>⋅</m:t>
        </m:r>
        <m:r>
          <m:rPr>
            <m:sty m:val="b"/>
          </m:rPr>
          <w:rPr>
            <w:color w:val="000000"/>
            <w:sz w:val="21"/>
          </w:rPr>
          <m:t>b</m:t>
        </m:r>
      </m:oMath>
      <w:r>
        <w:rPr>
          <w:rFonts w:eastAsia="source serif 4" w:cs="source serif 4" w:ascii="source serif 4" w:hAnsi="source serif 4"/>
          <w:color w:val="000000"/>
          <w:sz w:val="21"/>
        </w:rPr>
        <w:t xml:space="preserve"> and saturate the CHSH bound at </w:t>
      </w:r>
      <m:oMath>
        <m:r>
          <m:rPr>
            <m:sty m:val="p"/>
          </m:rPr>
          <w:rPr>
            <w:color w:val="000000"/>
            <w:sz w:val="21"/>
          </w:rPr>
          <m:t>2</m:t>
        </m:r>
        <m:rad>
          <m:radPr>
            <m:degHide m:val="1"/>
            <m:ctrlPr>
              <w:rPr>
                <w:rFonts w:ascii="Cambria Math" w:hAnsi="Cambria Math"/>
                <w:color w:val="000000"/>
                <w:sz w:val="21"/>
              </w:rPr>
            </m:ctrlPr>
          </m:radPr>
          <m:deg/>
          <m:e>
            <m:r>
              <m:rPr>
                <m:sty m:val="p"/>
              </m:rPr>
              <w:rPr>
                <w:color w:val="000000"/>
                <w:sz w:val="21"/>
              </w:rPr>
              <m:t>2</m:t>
            </m:r>
          </m:e>
        </m:rad>
      </m:oMath>
      <w:r>
        <w:rPr>
          <w:rFonts w:eastAsia="source serif 4" w:cs="source serif 4" w:ascii="source serif 4" w:hAnsi="source serif 4"/>
          <w:color w:val="000000"/>
          <w:sz w:val="21"/>
        </w:rPr>
        <w:t xml:space="preserve">.[cite:56][cite:58]</w:t>
      </w:r>
    </w:p>
    <w:p>
      <w:pPr>
        <w:spacing w:line="360" w:after="210" w:lineRule="auto"/>
      </w:pPr>
      <w:r>
        <w:rPr>
          <w:rFonts w:eastAsia="source serif 4" w:cs="source serif 4" w:ascii="source serif 4" w:hAnsi="source serif 4"/>
          <w:color w:val="000000"/>
        </w:rPr>
        <w:t xml:space="preserve">In the latest proof-style draft, the singlet and Bell-violation steps are expressed as a lemma and a theorem, making the logic more theorem-like and less discursive.[cite:56]</w:t>
      </w:r>
    </w:p>
    <w:p>
      <w:pPr>
        <w:spacing w:line="360" w:before="315" w:after="105" w:lineRule="auto"/>
        <w:ind w:left="-30"/>
        <w:jc w:val="left"/>
      </w:pPr>
      <w:bookmarkStart w:id="3" w:name="numerical_status"/>
      <w:r>
        <w:rPr>
          <w:rFonts w:eastAsia="source serif 4" w:cs="source serif 4" w:ascii="source serif 4" w:hAnsi="source serif 4"/>
          <w:b/>
          <w:color w:val="000000"/>
          <w:sz w:val="24"/>
        </w:rPr>
        <w:t xml:space="preserve">Numerical status</w:t>
      </w:r>
      <w:bookmarkEnd w:id="3"/>
    </w:p>
    <w:p>
      <w:pPr>
        <w:spacing w:line="360" w:after="210" w:lineRule="auto"/>
      </w:pPr>
      <w:r>
        <w:rPr>
          <w:rFonts w:eastAsia="source serif 4" w:cs="source serif 4" w:ascii="source serif 4" w:hAnsi="source serif 4"/>
          <w:color w:val="000000"/>
        </w:rPr>
        <w:t xml:space="preserve">The present numerical evidence still comes from the simplified 1D scalar kink study rather than a full 3D O(3)+Skyrme simulation.[cite:52][cite:56]</w:t>
      </w:r>
    </w:p>
    <w:p>
      <w:pPr>
        <w:spacing w:line="360" w:after="210" w:lineRule="auto"/>
      </w:pPr>
      <w:r>
        <w:rPr>
          <w:rFonts w:eastAsia="source serif 4" w:cs="source serif 4" w:ascii="source serif 4" w:hAnsi="source serif 4"/>
          <w:color w:val="000000"/>
        </w:rPr>
        <w:t xml:space="preserve">That 1D work already supports two limited but useful claims: the topological object is dynamically stable in the tested regime, and a soliton--antisoliton configuration shows strong anticorrelation close to -0.9927.[cite:52][cite:56]</w:t>
      </w:r>
    </w:p>
    <w:p>
      <w:pPr>
        <w:spacing w:line="360" w:after="210" w:lineRule="auto"/>
      </w:pPr>
      <w:r>
        <w:rPr>
          <w:rFonts w:eastAsia="source serif 4" w:cs="source serif 4" w:ascii="source serif 4" w:hAnsi="source serif 4"/>
          <w:color w:val="000000"/>
        </w:rPr>
        <w:t xml:space="preserve">The current manuscript correctly treats this as supporting evidence rather than as a full verification of the Bell derivation.[cite:52][cite:56]</w:t>
      </w:r>
    </w:p>
    <w:p>
      <w:pPr>
        <w:spacing w:line="360" w:before="315" w:after="105" w:lineRule="auto"/>
        <w:ind w:left="-30"/>
        <w:jc w:val="left"/>
      </w:pPr>
      <w:bookmarkStart w:id="4" w:name="experimental_prediction"/>
      <w:r>
        <w:rPr>
          <w:rFonts w:eastAsia="source serif 4" w:cs="source serif 4" w:ascii="source serif 4" w:hAnsi="source serif 4"/>
          <w:b/>
          <w:color w:val="000000"/>
          <w:sz w:val="24"/>
        </w:rPr>
        <w:t xml:space="preserve">Experimental prediction</w:t>
      </w:r>
      <w:bookmarkEnd w:id="4"/>
    </w:p>
    <w:p>
      <w:pPr>
        <w:spacing w:line="360" w:after="210" w:lineRule="auto"/>
      </w:pPr>
      <w:r>
        <w:rPr>
          <w:rFonts w:eastAsia="source serif 4" w:cs="source serif 4" w:ascii="source serif 4" w:hAnsi="source serif 4"/>
          <w:color w:val="000000"/>
        </w:rPr>
        <w:t xml:space="preserve">The manuscript includes a distinct BNCFT prediction not shared by standard quantum mechanics: a nonzero cross-pair correlation between two otherwise independent entangled pairs that share the same physical environment.[cite:56]</w:t>
      </w:r>
    </w:p>
    <w:p>
      <w:pPr>
        <w:spacing w:line="360" w:after="210" w:lineRule="auto"/>
      </w:pPr>
      <w:r>
        <w:rPr>
          <w:rFonts w:eastAsia="source serif 4" w:cs="source serif 4" w:ascii="source serif 4" w:hAnsi="source serif 4"/>
          <w:color w:val="000000"/>
        </w:rPr>
        <w:t xml:space="preserve">It also gives a first laboratory-scale estimate: if the field propagation speed is approximately </w:t>
      </w:r>
      <m:oMath>
        <m:r>
          <m:rPr>
            <m:sty m:val="i"/>
          </m:rPr>
          <w:rPr>
            <w:color w:val="000000"/>
          </w:rPr>
          <m:t>c</m:t>
        </m:r>
      </m:oMath>
      <w:r>
        <w:rPr>
          <w:rFonts w:eastAsia="source serif 4" w:cs="source serif 4" w:ascii="source serif 4" w:hAnsi="source serif 4"/>
          <w:color w:val="000000"/>
        </w:rPr>
        <w:t xml:space="preserve"> and the measurement window is around 10 ns, then the characteristic scale </w:t>
      </w:r>
      <m:oMath>
        <m:sSup>
          <m:sSupPr>
            <m:ctrlPr>
              <w:rPr>
                <w:rFonts w:ascii="Cambria Math" w:hAnsi="Cambria Math"/>
                <w:color w:val="000000"/>
              </w:rPr>
            </m:ctrlPr>
          </m:sSupPr>
          <m:e>
            <m:r>
              <m:rPr>
                <m:sty m:val="i"/>
              </m:rPr>
              <w:rPr>
                <w:color w:val="000000"/>
              </w:rPr>
              <m:t>L</m:t>
            </m:r>
          </m:e>
          <m:sup>
            <m:r>
              <m:rPr>
                <m:sty m:val="p"/>
              </m:rPr>
              <w:rPr>
                <w:color w:val="000000"/>
              </w:rPr>
              <m:t>∗</m:t>
            </m:r>
          </m:sup>
        </m:sSup>
        <m:r>
          <m:rPr>
            <m:sty m:val="p"/>
          </m:rPr>
          <w:rPr>
            <w:color w:val="000000"/>
          </w:rPr>
          <m:t>=</m:t>
        </m:r>
        <m:r>
          <m:rPr>
            <m:sty m:val="i"/>
          </m:rPr>
          <w:rPr>
            <w:color w:val="000000"/>
          </w:rPr>
          <m:t>v</m:t>
        </m:r>
        <m:sSub>
          <m:sSubPr>
            <m:ctrlPr>
              <w:rPr>
                <w:rFonts w:ascii="Cambria Math" w:hAnsi="Cambria Math"/>
                <w:color w:val="000000"/>
              </w:rPr>
            </m:ctrlPr>
          </m:sSubPr>
          <m:e>
            <m:r>
              <m:rPr>
                <m:sty m:val="i"/>
              </m:rPr>
              <w:rPr>
                <w:color w:val="000000"/>
              </w:rPr>
              <m:t>t</m:t>
            </m:r>
          </m:e>
          <m:sub>
            <m:r>
              <m:rPr>
                <m:nor/>
              </m:rPr>
              <w:rPr>
                <w:color w:val="000000"/>
              </w:rPr>
              <m:t>meas</m:t>
            </m:r>
          </m:sub>
        </m:sSub>
      </m:oMath>
      <w:r>
        <w:rPr>
          <w:rFonts w:eastAsia="source serif 4" w:cs="source serif 4" w:ascii="source serif 4" w:hAnsi="source serif 4"/>
          <w:color w:val="000000"/>
        </w:rPr>
        <w:t xml:space="preserve"> is of order 3 m.[cite:56]</w:t>
      </w:r>
    </w:p>
    <w:p>
      <w:pPr>
        <w:spacing w:line="360" w:after="210" w:lineRule="auto"/>
      </w:pPr>
      <w:r>
        <w:rPr>
          <w:rFonts w:eastAsia="source serif 4" w:cs="source serif 4" w:ascii="source serif 4" w:hAnsi="source serif 4"/>
          <w:color w:val="000000"/>
        </w:rPr>
        <w:t xml:space="preserve">This is enough for a falsifiable phenomenological statement, even though the exact value of </w:t>
      </w:r>
      <m:oMath>
        <m:r>
          <m:rPr>
            <m:sty m:val="i"/>
          </m:rPr>
          <w:rPr>
            <w:color w:val="000000"/>
          </w:rPr>
          <m:t>v</m:t>
        </m:r>
      </m:oMath>
      <w:r>
        <w:rPr>
          <w:rFonts w:eastAsia="source serif 4" w:cs="source serif 4" w:ascii="source serif 4" w:hAnsi="source serif 4"/>
          <w:color w:val="000000"/>
        </w:rPr>
        <w:t xml:space="preserve"> remains open inside BNCFT.[cite:56]</w:t>
      </w:r>
    </w:p>
    <w:p>
      <w:pPr>
        <w:spacing w:line="360" w:before="315" w:after="105" w:lineRule="auto"/>
        <w:ind w:left="-30"/>
        <w:jc w:val="left"/>
      </w:pPr>
      <w:bookmarkStart w:id="5" w:name="immediate_next_steps"/>
      <w:r>
        <w:rPr>
          <w:rFonts w:eastAsia="source serif 4" w:cs="source serif 4" w:ascii="source serif 4" w:hAnsi="source serif 4"/>
          <w:b/>
          <w:color w:val="000000"/>
          <w:sz w:val="24"/>
        </w:rPr>
        <w:t xml:space="preserve">Immediate next steps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Compile and check LaTeX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arXiv-ready formatting and citation sanity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Ready to do now [cite:56]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Upload first arXiv 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 timestamp and public priority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Ready after compile check [cite:56]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 3D O(3)+Skyrme numerics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Replace 1D support with full soliton verification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started [cite:51][cite:52]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Compute moment of inertia </w:t>
            </w:r>
            <m:oMath>
              <m:r>
                <m:rPr>
                  <m:sty m:val="p"/>
                </m:rPr>
                <w:rPr>
                  <w:color w:val="000000"/>
                  <w:sz w:val="17"/>
                </w:rPr>
                <m:t>Λ</m:t>
              </m:r>
            </m:oMath>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Close the loop between soliton profile and collective-coordinate Hamiltonian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started [cite:56]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 two-soliton anticorrelation in 3D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Upgrade the singlet-support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started [cite:52][cite:56]</w:t>
            </w:r>
          </w:p>
        </w:tc>
      </w:tr>
    </w:tbl>
    <w:p>
      <w:pPr>
        <w:spacing w:lineRule="auto"/>
      </w:pPr>
    </w:p>
    <w:p>
      <w:pPr>
        <w:spacing w:line="360" w:before="315" w:after="105" w:lineRule="auto"/>
        <w:ind w:left="-30"/>
        <w:jc w:val="left"/>
      </w:pPr>
      <w:bookmarkStart w:id="6" w:name="assessment"/>
      <w:r>
        <w:rPr>
          <w:rFonts w:eastAsia="source serif 4" w:cs="source serif 4" w:ascii="source serif 4" w:hAnsi="source serif 4"/>
          <w:b/>
          <w:color w:val="000000"/>
          <w:sz w:val="24"/>
        </w:rPr>
        <w:t xml:space="preserve">Assessment</w:t>
      </w:r>
      <w:bookmarkEnd w:id="6"/>
    </w:p>
    <w:p>
      <w:pPr>
        <w:spacing w:line="360" w:after="210" w:lineRule="auto"/>
      </w:pPr>
      <w:r>
        <w:rPr>
          <w:rFonts w:eastAsia="source serif 4" w:cs="source serif 4" w:ascii="source serif 4" w:hAnsi="source serif 4"/>
          <w:color w:val="000000"/>
        </w:rPr>
        <w:t xml:space="preserve">At this stage, the Bell manuscript is strong enough for an arXiv first version because the logical structure is explicit, the physical weak points are openly acknowledged in the limitations section, and the paper makes a falsifiable experimental claim.[cite:56]</w:t>
      </w:r>
    </w:p>
    <w:p>
      <w:pPr>
        <w:spacing w:line="360" w:after="210" w:lineRule="auto"/>
      </w:pPr>
      <w:r>
        <w:rPr>
          <w:rFonts w:eastAsia="source serif 4" w:cs="source serif 4" w:ascii="source serif 4" w:hAnsi="source serif 4"/>
          <w:color w:val="000000"/>
        </w:rPr>
        <w:t xml:space="preserve">The most important unfinished work is not conceptual but dynamical: a full 3D O(3)+Skyrme computation of the soliton profile, its inertia parameter, and the neutral two-body configuration.[cite:51][cite:52][cite:56]</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2026-06-08T02:52:15.836Z</dcterms:created>
  <dcterms:modified xsi:type="dcterms:W3CDTF">2026-06-08T02:52:15.836Z</dcterms:modified>
</cp:coreProperties>
</file>