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无背景混沌场理论重新推导第一编（重推版 R1.4）</w:t>
      </w:r>
    </w:p>
    <w:p>
      <w:pPr>
        <w:jc w:val="center"/>
      </w:pPr>
      <w:r>
        <w:rPr>
          <w:i/>
          <w:color w:val="5A6B7B"/>
          <w:sz w:val="22"/>
        </w:rPr>
        <w:t>最小合法入口、显式定义补丁与主链桥接说明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r>
              <w:t>Purpose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第一编主稿修订版；在 R1.3 基础上补齐显式定义、反例演示与大纲桥接说明。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r>
              <w:t>Version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R1.4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r>
              <w:t>Date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2026-04-13</w:t>
            </w:r>
          </w:p>
        </w:tc>
      </w:tr>
    </w:tbl>
    <w:p>
      <w:pPr>
        <w:pStyle w:val="Heading1"/>
      </w:pPr>
      <w:r>
        <w:t>摘要</w:t>
      </w:r>
    </w:p>
    <w:p>
      <w:r>
        <w:t>本版不推翻 R1.3 的主链，而是在其上补四类缺口：其一，将全局合法性函数 L、局域合法性函数 L_loc、合法规则集合 U_leg 及 R1–R5 条件显式化；其二，澄清“潜在分歧能力”与“主链规范调度”的关系，防止把 N5 误读为主链必须实际分叉；其三，加入 LocalityLeak 与 MetricLeak 的最小坏例子；其四，补充与总大纲样板模型的桥接说明，使第一编既维持主链纯度，又不误伤弱版本与样板模型。</w:t>
      </w:r>
    </w:p>
    <w:p>
      <w:pPr>
        <w:pStyle w:val="Heading1"/>
      </w:pPr>
      <w:r>
        <w:t>1. 本轮修订定位</w:t>
      </w:r>
    </w:p>
    <w:p>
      <w:r>
        <w:t>R1.4 的定位是“小补丁版主稿”。它保留 R1.3 已经成立的制度骨架：有限离散配置、参数化邻域、结构干涉、确定规范调度、A 层非法对象闭包与极小非平凡实例。本轮只处理四个被外部审计反复指出的缺口：定义显式性不足、调度与非平凡性关系易被误读、失败窗缺少坏例子、以及与总大纲样板模型之间的接口说明不够。</w:t>
      </w:r>
    </w:p>
    <w:p>
      <w:pPr>
        <w:pStyle w:val="Heading1"/>
      </w:pPr>
      <w:r>
        <w:t>2. 显式定义补丁</w:t>
      </w:r>
    </w:p>
    <w:p>
      <w:pPr>
        <w:pStyle w:val="Heading2"/>
      </w:pPr>
      <w:r>
        <w:t>2.1 全局合法性函数 L(C)</w:t>
      </w:r>
    </w:p>
    <w:p>
      <w:r>
        <w:t>对任意配置候选 C=(V,E,σ,τ)，定义 L(C)=1 当且仅当同时满足下列六项。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850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编号</w:t>
            </w:r>
          </w:p>
        </w:tc>
        <w:tc>
          <w:tcPr>
            <w:tcW w:type="dxa" w:w="1984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名称</w:t>
            </w:r>
          </w:p>
        </w:tc>
        <w:tc>
          <w:tcPr>
            <w:tcW w:type="dxa" w:w="5953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可计算判据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L1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有限性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 非空且有限，E 有限。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L2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标签类型一致性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σ(v)∈Σ_V 且 τ(e)∈Σ_E。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L3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图结构合法性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E⊆V×V，边端点均落在 V 内。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L4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邻域可定义性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对被调用的每一组 (k,μ)，N_{k,μ}(v;C) 可由图结构内部有限计算得到。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L5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无背景输入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显式字段中不得出现连续坐标、外部时间、外部随机源、度规、波函数或希尔伯特结构槽位。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L6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规则兼容性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凡可能在 C 上被匹配的局域规则，其输出都能无缝嵌回全局结构而不破坏 L1–L5。</w:t>
            </w:r>
          </w:p>
        </w:tc>
      </w:tr>
    </w:tbl>
    <w:p>
      <w:pPr>
        <w:pStyle w:val="Heading2"/>
      </w:pPr>
      <w:r>
        <w:t>2.2 局域合法性函数 L_loc</w:t>
      </w:r>
    </w:p>
    <w:p>
      <w:r>
        <w:t>对局域结构改写 S → S′，定义 L_loc(S→S′)=1 当且仅当满足 LL1–LL5。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850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编号</w:t>
            </w:r>
          </w:p>
        </w:tc>
        <w:tc>
          <w:tcPr>
            <w:tcW w:type="dxa" w:w="1984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名称</w:t>
            </w:r>
          </w:p>
        </w:tc>
        <w:tc>
          <w:tcPr>
            <w:tcW w:type="dxa" w:w="5953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可计算判据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LL1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有限局域性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 与 S′ 都是有限有向标记子图。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LL2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标签保持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S′ 的节点标签与边标签仍落在 Σ_V、Σ_E 中。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LL3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无非法对象引入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S′ 不携带 A 层非法对象，也不引入外部连续权重。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LL4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可嵌回性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S′ 可嵌回原配置，不产生集合外端点或悬空引用。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LL5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邻域再定义性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改写后对规则所需的 (k,μ) 仍可计算邻域。</w:t>
            </w:r>
          </w:p>
        </w:tc>
      </w:tr>
    </w:tbl>
    <w:p>
      <w:pPr>
        <w:pStyle w:val="Heading2"/>
      </w:pPr>
      <w:r>
        <w:t>2.3 合法规则集合 U_leg</w:t>
      </w:r>
    </w:p>
    <w:p>
      <w:r>
        <w:t>规则写作 U=(Π_U,Ω_U,k_U,μ_U)。其中 Π_U 只允许读取支撑域内的图结构与离散标签；Ω_U 只允许执行有限个局域操作：节点标签改写、边标签改写、局域增删边、局域增删节点。</w:t>
      </w:r>
    </w:p>
    <w:p>
      <w:r>
        <w:t>定义 U∈U_leg，当且仅当对任意合法配置 C 与任意锚点集 A，只要 Π_U(Supp_{k_U,μ_U}(A;C))=1，则其输出同时满足 R1–R5。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850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编号</w:t>
            </w:r>
          </w:p>
        </w:tc>
        <w:tc>
          <w:tcPr>
            <w:tcW w:type="dxa" w:w="1984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名称</w:t>
            </w:r>
          </w:p>
        </w:tc>
        <w:tc>
          <w:tcPr>
            <w:tcW w:type="dxa" w:w="5953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可计算判据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R1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有限输出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输出仍是有限有向标记子图。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R2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类型保持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节点与边标签仍留在既定离散字母表中。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R3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无背景引入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输出不引入 A 层非法对象，不调用外部时钟或外部随机源。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R4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可嵌回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输出能回写到原配置中，不破坏与支撑域外部的拼接。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R5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局域合法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L_loc(S→S′)=1。</w:t>
            </w:r>
          </w:p>
        </w:tc>
      </w:tr>
    </w:tbl>
    <w:p>
      <w:pPr>
        <w:pStyle w:val="Heading2"/>
      </w:pPr>
      <w:r>
        <w:t>2.4 结构干涉 bowtie_C 的显式判据</w:t>
      </w:r>
    </w:p>
    <w:p>
      <w:pPr>
        <w:ind w:left="227" w:hanging="227"/>
      </w:pPr>
      <w:r>
        <w:rPr>
          <w:b/>
        </w:rPr>
        <w:t xml:space="preserve">• </w:t>
      </w:r>
      <w:r>
        <w:t>若两个已就绪事件的支撑域存在非空重叠，且在重叠区域上的写操作不相容，则记 e_i bowtie_C e_j。</w:t>
      </w:r>
    </w:p>
    <w:p>
      <w:pPr>
        <w:ind w:left="227" w:hanging="227"/>
      </w:pPr>
      <w:r>
        <w:rPr>
          <w:b/>
        </w:rPr>
        <w:t xml:space="preserve">• </w:t>
      </w:r>
      <w:r>
        <w:t>若执行 e_i 会使 e_j 的匹配前提失效，则记 e_i bowtie_C e_j；反向同理。</w:t>
      </w:r>
    </w:p>
    <w:p>
      <w:pPr>
        <w:ind w:left="227" w:hanging="227"/>
      </w:pPr>
      <w:r>
        <w:rPr>
          <w:b/>
        </w:rPr>
        <w:t xml:space="preserve">• </w:t>
      </w:r>
      <w:r>
        <w:t>在实现层中，bowtie_C 的判定只允许使用支撑域、标签和局域读写集，不得调用外部距离或全局优化器。</w:t>
      </w:r>
    </w:p>
    <w:p>
      <w:pPr>
        <w:pStyle w:val="Heading2"/>
      </w:pPr>
      <w:r>
        <w:t>2.5 规范编码 κ_C(e) 的显式组成</w:t>
      </w:r>
    </w:p>
    <w:p>
      <w:pPr>
        <w:ind w:left="227" w:hanging="227"/>
      </w:pPr>
      <w:r>
        <w:rPr>
          <w:b/>
        </w:rPr>
        <w:t xml:space="preserve">• </w:t>
      </w:r>
      <w:r>
        <w:t>规则编号：rule_id(U)。</w:t>
      </w:r>
    </w:p>
    <w:p>
      <w:pPr>
        <w:ind w:left="227" w:hanging="227"/>
      </w:pPr>
      <w:r>
        <w:rPr>
          <w:b/>
        </w:rPr>
        <w:t xml:space="preserve">• </w:t>
      </w:r>
      <w:r>
        <w:t>锚点规范串：按内部离散排序给出 anchor_code(A)。</w:t>
      </w:r>
    </w:p>
    <w:p>
      <w:pPr>
        <w:ind w:left="227" w:hanging="227"/>
      </w:pPr>
      <w:r>
        <w:rPr>
          <w:b/>
        </w:rPr>
        <w:t xml:space="preserve">• </w:t>
      </w:r>
      <w:r>
        <w:t>支撑域编码：对支撑子图做规范图编码，得到 support_code(Supp)。</w:t>
      </w:r>
    </w:p>
    <w:p>
      <w:pPr>
        <w:ind w:left="227" w:hanging="227"/>
      </w:pPr>
      <w:r>
        <w:rPr>
          <w:b/>
        </w:rPr>
        <w:t xml:space="preserve">• </w:t>
      </w:r>
      <w:r>
        <w:t>局域标签串：对支撑域内节点与边标签做固定顺序串接，得到 label_code。</w:t>
      </w:r>
    </w:p>
    <w:p>
      <w:pPr>
        <w:ind w:left="227" w:hanging="227"/>
      </w:pPr>
      <w:r>
        <w:rPr>
          <w:b/>
        </w:rPr>
        <w:t xml:space="preserve">• </w:t>
      </w:r>
      <w:r>
        <w:t>最终取 κ_C(e)=(rule_id, anchor_code, support_code, label_code) 的词典序。</w:t>
      </w:r>
    </w:p>
    <w:p>
      <w:pPr>
        <w:pStyle w:val="Heading1"/>
      </w:pPr>
      <w:r>
        <w:t>3. 调度与非平凡性的去冲突说明</w:t>
      </w:r>
    </w:p>
    <w:p>
      <w:r>
        <w:t>R1.4 明确区分两件事：其一，系统是否具有“潜在分歧能力”；其二，主链是否实际分叉出多条历史。第一编的 N5 只要求前者：存在多个就绪事件，且这些事件之间存在结构干涉，或存在不同的局域改写候选。第一编主链并不要求真的把全部候选都展开为多历史分支。相反，主链仍固定使用规范串行调度器 S_can(C)，其作用只是给出唯一、可审计、可复跑的执行结果。</w:t>
      </w:r>
    </w:p>
    <w:p>
      <w:pPr>
        <w:ind w:left="227" w:hanging="227"/>
      </w:pPr>
      <w:r>
        <w:rPr>
          <w:b/>
        </w:rPr>
        <w:t xml:space="preserve">• </w:t>
      </w:r>
      <w:r>
        <w:t>N5 见证的是“潜在分歧能力”，不是“主链必须实际分叉”。</w:t>
      </w:r>
    </w:p>
    <w:p>
      <w:pPr>
        <w:ind w:left="227" w:hanging="227"/>
      </w:pPr>
      <w:r>
        <w:rPr>
          <w:b/>
        </w:rPr>
        <w:t xml:space="preserve">• </w:t>
      </w:r>
      <w:r>
        <w:t>规范串行调度只负责在多个合法候选中选出唯一主链结果，不否定其他候选作为结构分歧事实的存在。</w:t>
      </w:r>
    </w:p>
    <w:p>
      <w:pPr>
        <w:ind w:left="227" w:hanging="227"/>
      </w:pPr>
      <w:r>
        <w:rPr>
          <w:b/>
        </w:rPr>
        <w:t xml:space="preserve">• </w:t>
      </w:r>
      <w:r>
        <w:t>因此，“存在 e_b 与 e_c 两个互相干涉的就绪事件”与“主链只执行其中编码最小的一个”并不矛盾。</w:t>
      </w:r>
    </w:p>
    <w:p>
      <w:pPr>
        <w:pStyle w:val="Heading1"/>
      </w:pPr>
      <w:r>
        <w:t>4. 两个最小坏例子与 Reject_1 演示</w:t>
      </w:r>
    </w:p>
    <w:p>
      <w:pPr>
        <w:pStyle w:val="Heading2"/>
      </w:pPr>
      <w:r>
        <w:t>4.1 伪局域坏例子：触发 Reject_1(LocalityLeak)</w:t>
      </w:r>
    </w:p>
    <w:p>
      <w:r>
        <w:t>设规则 U_bad 要求：从锚点 a 出发沿出边一直遍历整个连通分量，统计全部标签为 Y 的节点个数；若总数超过阈值，则回写锚点标签。该规则虽然表面上只从一个锚点出发，但其支撑域规模随配置规模增长，且匹配过程依赖整个连通分量。故它违反了“k_U 固定且支撑域存在与 |V| 无关的上界 B_U”这一条，必须触发 Reject_1(LocalityLeak)。</w:t>
      </w:r>
    </w:p>
    <w:p>
      <w:pPr>
        <w:pStyle w:val="Heading2"/>
      </w:pPr>
      <w:r>
        <w:t>4.2 度规走私坏例子：触发 Reject_1(MetricLeak)</w:t>
      </w:r>
    </w:p>
    <w:p>
      <w:r>
        <w:t>设边标签 τ 不再只是范畴标签，而是被赋值为可加权重 w(e)∈R；随后在第一编或第二编中定义路径长度为各边权之和，并据此做最短路径选择。这会把边标签直接提升为预设度量，从而偷运长度、代价与优化结构。因此，只要在第一、二编中把 τ 用作可加、可乘、可排序或可最优化的度量对象，就必须触发 Reject_1(MetricLeak)。</w:t>
      </w:r>
    </w:p>
    <w:p>
      <w:pPr>
        <w:pStyle w:val="Heading1"/>
      </w:pPr>
      <w:r>
        <w:t>5. 与总大纲样板模型的桥接说明</w:t>
      </w:r>
    </w:p>
    <w:p>
      <w:r>
        <w:t>第一编是主链入口，不是总大纲中所有样板模型的直接判决器。总大纲允许矩阵、张量、图粗粒化、离散代数元胞等弱版本与样板模型存在；但这些对象若要接入主链，必须先被桥接为第一编允许的数据类型：有限离散配置、有限局域支撑、可计算合法性判定、以及不偷运背景的局域规则。</w:t>
      </w:r>
    </w:p>
    <w:p>
      <w:pPr>
        <w:ind w:left="227" w:hanging="227"/>
      </w:pPr>
      <w:r>
        <w:rPr>
          <w:b/>
        </w:rPr>
        <w:t xml:space="preserve">• </w:t>
      </w:r>
      <w:r>
        <w:t>弱版本与样板模型并非天然非法；它们只是不能绕过第一编，直接把自身语义强塞进主链。</w:t>
      </w:r>
    </w:p>
    <w:p>
      <w:pPr>
        <w:ind w:left="227" w:hanging="227"/>
      </w:pPr>
      <w:r>
        <w:rPr>
          <w:b/>
        </w:rPr>
        <w:t xml:space="preserve">• </w:t>
      </w:r>
      <w:r>
        <w:t>桥接动作的目标不是抹掉样板模型，而是把它们降格到主链可审计的数据结构层。</w:t>
      </w:r>
    </w:p>
    <w:p>
      <w:pPr>
        <w:ind w:left="227" w:hanging="227"/>
      </w:pPr>
      <w:r>
        <w:rPr>
          <w:b/>
        </w:rPr>
        <w:t xml:space="preserve">• </w:t>
      </w:r>
      <w:r>
        <w:t>因此，第一编的严格入口与总大纲的“双路线/样板先行”精神并不冲突；前者规定主链准入，后者规定探索空间。</w:t>
      </w:r>
    </w:p>
    <w:p>
      <w:pPr>
        <w:pStyle w:val="Heading1"/>
      </w:pPr>
      <w:r>
        <w:t>6. 修订后的极小结论</w:t>
      </w:r>
    </w:p>
    <w:p>
      <w:pPr>
        <w:ind w:left="227" w:hanging="227"/>
      </w:pPr>
      <w:r>
        <w:rPr>
          <w:b/>
        </w:rPr>
        <w:t xml:space="preserve">• </w:t>
      </w:r>
      <w:r>
        <w:t>R1.4 维持 R1.3 的主链：有限离散配置 → 合法规则 → 就绪事件 → 结构干涉 → 规范串行调度。</w:t>
      </w:r>
    </w:p>
    <w:p>
      <w:pPr>
        <w:ind w:left="227" w:hanging="227"/>
      </w:pPr>
      <w:r>
        <w:rPr>
          <w:b/>
        </w:rPr>
        <w:t xml:space="preserve">• </w:t>
      </w:r>
      <w:r>
        <w:t>R1.4 进一步把 L、L_loc、U_leg、R1–R5、bowtie_C、κ_C(e) 显式化，降低 LegalityGap 与 RuleGap 风险。</w:t>
      </w:r>
    </w:p>
    <w:p>
      <w:pPr>
        <w:ind w:left="227" w:hanging="227"/>
      </w:pPr>
      <w:r>
        <w:rPr>
          <w:b/>
        </w:rPr>
        <w:t xml:space="preserve">• </w:t>
      </w:r>
      <w:r>
        <w:t>R1.4 明确区分“潜在分歧能力”和“主链唯一执行结果”，从而消除对 N5 的常见误读。</w:t>
      </w:r>
    </w:p>
    <w:p>
      <w:pPr>
        <w:ind w:left="227" w:hanging="227"/>
      </w:pPr>
      <w:r>
        <w:rPr>
          <w:b/>
        </w:rPr>
        <w:t xml:space="preserve">• </w:t>
      </w:r>
      <w:r>
        <w:t>R1.4 加入两个故意违规的坏例子，使 Reject_1 不再只是制度口号。</w:t>
      </w:r>
    </w:p>
    <w:p>
      <w:pPr>
        <w:pStyle w:val="Heading1"/>
      </w:pPr>
      <w:r>
        <w:t>附录：最小实现映射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84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正文对象</w:t>
            </w:r>
          </w:p>
        </w:tc>
        <w:tc>
          <w:tcPr>
            <w:tcW w:type="dxa" w:w="2835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接口函数</w:t>
            </w:r>
          </w:p>
        </w:tc>
        <w:tc>
          <w:tcPr>
            <w:tcW w:type="dxa" w:w="3402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说明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L(C)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legality(C)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全局合法性判定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L_loc(S→S′)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local_legality(S,U,S_new)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局域输出合法性判定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U_leg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is_legal_rule(U)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规则准入判定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Ready(C)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find_ready_events(C, rule_set)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求全部已就绪事件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bowtie_C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interference_relation(C, ready_events)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求结构干涉关系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κ_C(e)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canonical_event_code(C, event)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生成规范编码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S_can(C)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canonical_scheduler(C, ready_events)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求主链唯一调度结果</w:t>
            </w:r>
          </w:p>
        </w:tc>
      </w:tr>
    </w:tbl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345D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345D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F3A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