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222222"/>
          <w:sz w:val="34"/>
          <w:szCs w:val="34"/>
        </w:rPr>
        <w:t xml:space="preserve">MATRIZ DE ABASTECIMIENTOS</w:t>
      </w:r>
    </w:p>
    <w:p>
      <w:pPr>
        <w:spacing w:after="200"/>
      </w:pPr>
      <w:r>
        <w:rPr>
          <w:rFonts w:ascii="Arial" w:cs="Arial" w:eastAsia="Arial" w:hAnsi="Arial"/>
          <w:color w:val="7A6012"/>
          <w:sz w:val="22"/>
          <w:szCs w:val="22"/>
        </w:rPr>
        <w:t xml:space="preserve">GymDesk: sistema de gestión y punto de venta para 327 Fitness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40"/>
        <w:gridCol w:w="6840"/>
      </w:tblGrid>
      <w:tr>
        <w:tc>
          <w:tcPr>
            <w:tcW w:type="dxa" w:w="6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9C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</w:rPr>
              <w:t xml:space="preserve">Fecha: </w:t>
            </w:r>
            <w:r>
              <w:rPr>
                <w:rFonts w:ascii="Arial" w:cs="Arial" w:eastAsia="Arial" w:hAnsi="Arial"/>
                <w:b/>
                <w:bCs/>
                <w:color w:val="7A6012"/>
              </w:rPr>
              <w:t xml:space="preserve">30 de marzo de 2026</w:t>
            </w:r>
          </w:p>
        </w:tc>
        <w:tc>
          <w:tcPr>
            <w:tcW w:type="dxa" w:w="6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9C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22222"/>
              </w:rPr>
              <w:t xml:space="preserve">Revisión: </w:t>
            </w:r>
            <w:r>
              <w:rPr>
                <w:rFonts w:ascii="Arial" w:cs="Arial" w:eastAsia="Arial" w:hAnsi="Arial"/>
                <w:b/>
                <w:bCs/>
                <w:color w:val="7A6012"/>
              </w:rPr>
              <w:t xml:space="preserve">1</w:t>
            </w:r>
          </w:p>
        </w:tc>
      </w:tr>
    </w:tbl>
    <w:p>
      <w:pPr>
        <w:keepNext/>
        <w:keepLines/>
        <w:pBdr>
          <w:top w:val="single" w:color="A6A6A6" w:sz="4"/>
          <w:bottom w:val="single" w:color="A6A6A6" w:sz="4"/>
          <w:left w:val="single" w:color="A6A6A6" w:sz="4"/>
          <w:right w:val="single" w:color="A6A6A6" w:sz="4"/>
        </w:pBdr>
        <w:shd w:fill="D9D9D9" w:color="auto" w:val="clear"/>
        <w:spacing w:after="120" w:before="280"/>
        <w:ind w:left="60" w:right="6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¿Para qué sirve?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</w:rPr>
        <w:t xml:space="preserve">Define cómo se contrata cada paquete de trabajo, asegurando que todo el WBS quede cubierto, incluido el trabajo que hace el propio equipo.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</w:rPr>
        <w:t xml:space="preserve">Para cada paquete establece el esquema y tipo de contrato, la relación contractual, el criterio de selección, la forma de pago, el importe, el anticipo y las fechas de cotización y contratación.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</w:rPr>
        <w:t xml:space="preserve">Se optó por pocos contratos: casi todo el trabajo es interno y solo se compran el equipo de recepción, la licencia del SDK de huella y el dominio.</w:t>
      </w:r>
    </w:p>
    <w:p>
      <w:pPr>
        <w:spacing w:before="120"/>
      </w:pPr>
      <w:r>
        <w:rPr>
          <w:rFonts w:ascii="Arial" w:cs="Arial" w:eastAsia="Arial" w:hAnsi="Arial"/>
        </w:rPr>
        <w:t xml:space="preserve">● = la partida se cubre con ese paquete. Las partidas que se desglosan en otras aparecen sombreadas.</w:t>
      </w:r>
    </w:p>
    <w:p>
      <w:pPr>
        <w:pageBreakBefore/>
        <w:spacing w:after="1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Paquetes de contratación por partida del WBS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3700"/>
        <w:gridCol w:w="1766"/>
        <w:gridCol w:w="1766"/>
        <w:gridCol w:w="1766"/>
        <w:gridCol w:w="1766"/>
        <w:gridCol w:w="1766"/>
      </w:tblGrid>
      <w:tr>
        <w:trPr>
          <w:tblHeader/>
          <w:trHeight w:val="1900" w:hRule="atLeast"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WBS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Entregable</w:t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textDirection w:val="btLr"/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Equipo Grid.mx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Interno</w:t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textDirection w:val="btLr"/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Equipo de recepción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Proveedor externo</w:t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textDirection w:val="btLr"/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HID Global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SDK de huella</w:t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textDirection w:val="btLr"/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Registrador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Dominio grid.mx</w:t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textDirection w:val="btLr"/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GitHub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Repositorio y compilación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1.1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Administración Profesional del Proyecto</w:t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1.1.1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1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Inicio</w:t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●</w:t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1.1.2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1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Planeación</w:t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●</w:t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1.1.3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1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Ejecución</w:t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●</w:t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1.1.4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1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Control</w:t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●</w:t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1.1.5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1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Cierre</w:t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●</w:t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1.2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Análisis y Diseño</w:t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1.2.1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1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Requerimientos de 327 Fitness</w:t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●</w:t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1.2.2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1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Modelado del Sistema (UML)</w:t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●</w:t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1.2.3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1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Diseño de la Base de Datos</w:t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●</w:t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1.2.4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1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Diseño de Interfaz (UX/UI)</w:t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●</w:t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1.3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Desarrollo del Sistema GymDesk</w:t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1.3.1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1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Base de la Aplicación</w:t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●</w:t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1.3.2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1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Usuarios y Permisos</w:t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●</w:t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1.3.3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1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Socios y Membresías</w:t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●</w:t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1.3.4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1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Control de Acceso</w:t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●</w:t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1.3.5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1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Caja y Punto de Venta</w:t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●</w:t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1.3.6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1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Inventario</w:t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●</w:t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1.3.7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1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Reportes y Tablero</w:t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●</w:t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1.3.8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1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Licenciamiento</w:t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●</w:t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1.3.9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160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Integración de Hardware</w:t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1.3.9.1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3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Impresora Térmica</w:t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●</w:t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1.3.9.2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3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Lector de Huella</w:t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●</w:t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1.3.9.3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3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Licencia del SDK de Huella</w:t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●</w:t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1.3.9.4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3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Lector de Códigos</w:t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●</w:t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1.3.10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1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Instalador y Versiones</w:t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●</w:t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1.3.11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1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Privacidad y Documentos Legales</w:t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●</w:t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1.4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Pruebas y Calidad</w:t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1.4.1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1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Pruebas Automatizadas</w:t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●</w:t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1.4.2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1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Pruebas por Versión (QA)</w:t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●</w:t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1.4.3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1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Pruebas de Aceptación</w:t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●</w:t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1.4.4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1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Auditoría de Seguridad</w:t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●</w:t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1.5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Implementación en 327 Fitness</w:t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1.5.1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1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Equipo de Recepción</w:t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●</w:t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1.5.2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1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Instalación y Configuración</w:t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●</w:t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1.5.3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1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Carga de Datos</w:t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●</w:t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1.5.4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1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Capacitación</w:t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●</w:t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1.5.5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1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Arranque en Operación</w:t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●</w:t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1.6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Comercialización</w:t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1.6.1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1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Modelo de Negocio (Canvas)</w:t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●</w:t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1.6.2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1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Planes y Precios</w:t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●</w:t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1.6.3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ind w:left="1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Sitio Web y SEO</w:t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●</w:t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●</w:t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/>
            </w:r>
          </w:p>
        </w:tc>
      </w:tr>
    </w:tbl>
    <w:p>
      <w:pPr>
        <w:keepNext/>
        <w:keepLines/>
        <w:pBdr>
          <w:top w:val="single" w:color="A6A6A6" w:sz="4"/>
          <w:bottom w:val="single" w:color="A6A6A6" w:sz="4"/>
          <w:left w:val="single" w:color="A6A6A6" w:sz="4"/>
          <w:right w:val="single" w:color="A6A6A6" w:sz="4"/>
        </w:pBdr>
        <w:shd w:fill="D9D9D9" w:color="auto" w:val="clear"/>
        <w:spacing w:after="120" w:before="280"/>
        <w:ind w:left="60" w:right="6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Esquemas de contratación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16"/>
        <w:gridCol w:w="2216"/>
        <w:gridCol w:w="2216"/>
        <w:gridCol w:w="2216"/>
        <w:gridCol w:w="2216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Concepto</w:t>
            </w:r>
          </w:p>
        </w:tc>
        <w:tc>
          <w:tcPr>
            <w:tcW w:type="dxa" w:w="2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Equipo Grid.mx</w:t>
            </w:r>
          </w:p>
        </w:tc>
        <w:tc>
          <w:tcPr>
            <w:tcW w:type="dxa" w:w="2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Equipo de recepción</w:t>
            </w:r>
          </w:p>
        </w:tc>
        <w:tc>
          <w:tcPr>
            <w:tcW w:type="dxa" w:w="2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HID Global</w:t>
            </w:r>
          </w:p>
        </w:tc>
        <w:tc>
          <w:tcPr>
            <w:tcW w:type="dxa" w:w="2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Registrador</w:t>
            </w:r>
          </w:p>
        </w:tc>
        <w:tc>
          <w:tcPr>
            <w:tcW w:type="dxa" w:w="2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GitHub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Esquema de contratación</w:t>
            </w:r>
          </w:p>
        </w:tc>
        <w:tc>
          <w:tcPr>
            <w:tcW w:type="dxa" w:w="2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Trabajo directo del equipo</w:t>
            </w:r>
          </w:p>
        </w:tc>
        <w:tc>
          <w:tcPr>
            <w:tcW w:type="dxa" w:w="2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Compra directa</w:t>
            </w:r>
          </w:p>
        </w:tc>
        <w:tc>
          <w:tcPr>
            <w:tcW w:type="dxa" w:w="2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Licencia de software</w:t>
            </w:r>
          </w:p>
        </w:tc>
        <w:tc>
          <w:tcPr>
            <w:tcW w:type="dxa" w:w="2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Servicio anual</w:t>
            </w:r>
          </w:p>
        </w:tc>
        <w:tc>
          <w:tcPr>
            <w:tcW w:type="dxa" w:w="2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Servicio gratuito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Tipo de contrato</w:t>
            </w:r>
          </w:p>
        </w:tc>
        <w:tc>
          <w:tcPr>
            <w:tcW w:type="dxa" w:w="2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Asignación interna</w:t>
            </w:r>
          </w:p>
        </w:tc>
        <w:tc>
          <w:tcPr>
            <w:tcW w:type="dxa" w:w="2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Orden de compra a precio fijo</w:t>
            </w:r>
          </w:p>
        </w:tc>
        <w:tc>
          <w:tcPr>
            <w:tcW w:type="dxa" w:w="2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Licencia anual a precio fijo</w:t>
            </w:r>
          </w:p>
        </w:tc>
        <w:tc>
          <w:tcPr>
            <w:tcW w:type="dxa" w:w="2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Precio fijo anual</w:t>
            </w:r>
          </w:p>
        </w:tc>
        <w:tc>
          <w:tcPr>
            <w:tcW w:type="dxa" w:w="2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Términos de servicio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Relación contractual</w:t>
            </w:r>
          </w:p>
        </w:tc>
        <w:tc>
          <w:tcPr>
            <w:tcW w:type="dxa" w:w="2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Interna</w:t>
            </w:r>
          </w:p>
        </w:tc>
        <w:tc>
          <w:tcPr>
            <w:tcW w:type="dxa" w:w="2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Proveedor directo</w:t>
            </w:r>
          </w:p>
        </w:tc>
        <w:tc>
          <w:tcPr>
            <w:tcW w:type="dxa" w:w="2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Licenciante (fabricante)</w:t>
            </w:r>
          </w:p>
        </w:tc>
        <w:tc>
          <w:tcPr>
            <w:tcW w:type="dxa" w:w="2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Proveedor directo</w:t>
            </w:r>
          </w:p>
        </w:tc>
        <w:tc>
          <w:tcPr>
            <w:tcW w:type="dxa" w:w="2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Proveedor directo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Criterio de selección</w:t>
            </w:r>
          </w:p>
        </w:tc>
        <w:tc>
          <w:tcPr>
            <w:tcW w:type="dxa" w:w="2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Perfil del integrante</w:t>
            </w:r>
          </w:p>
        </w:tc>
        <w:tc>
          <w:tcPr>
            <w:tcW w:type="dxa" w:w="2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Menor precio entre tres cotizaciones, compatible con GymDesk</w:t>
            </w:r>
          </w:p>
        </w:tc>
        <w:tc>
          <w:tcPr>
            <w:tcW w:type="dxa" w:w="2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Único proveedor: fabricante del lector</w:t>
            </w:r>
          </w:p>
        </w:tc>
        <w:tc>
          <w:tcPr>
            <w:tcW w:type="dxa" w:w="2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Menor precio entre tres cotizaciones</w:t>
            </w:r>
          </w:p>
        </w:tc>
        <w:tc>
          <w:tcPr>
            <w:tcW w:type="dxa" w:w="2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Estándar del equipo; sin costo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Forma de pago</w:t>
            </w:r>
          </w:p>
        </w:tc>
        <w:tc>
          <w:tcPr>
            <w:tcW w:type="dxa" w:w="2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Horas del equipo por mes</w:t>
            </w:r>
          </w:p>
        </w:tc>
        <w:tc>
          <w:tcPr>
            <w:tcW w:type="dxa" w:w="2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Contado contra entrega</w:t>
            </w:r>
          </w:p>
        </w:tc>
        <w:tc>
          <w:tcPr>
            <w:tcW w:type="dxa" w:w="2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Pago anticipado</w:t>
            </w:r>
          </w:p>
        </w:tc>
        <w:tc>
          <w:tcPr>
            <w:tcW w:type="dxa" w:w="2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Pago anticipado</w:t>
            </w:r>
          </w:p>
        </w:tc>
        <w:tc>
          <w:tcPr>
            <w:tcW w:type="dxa" w:w="2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No aplica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Tipo de proveedor</w:t>
            </w:r>
          </w:p>
        </w:tc>
        <w:tc>
          <w:tcPr>
            <w:tcW w:type="dxa" w:w="2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Interno</w:t>
            </w:r>
          </w:p>
        </w:tc>
        <w:tc>
          <w:tcPr>
            <w:tcW w:type="dxa" w:w="2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Externo</w:t>
            </w:r>
          </w:p>
        </w:tc>
        <w:tc>
          <w:tcPr>
            <w:tcW w:type="dxa" w:w="2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Externo</w:t>
            </w:r>
          </w:p>
        </w:tc>
        <w:tc>
          <w:tcPr>
            <w:tcW w:type="dxa" w:w="2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Externo</w:t>
            </w:r>
          </w:p>
        </w:tc>
        <w:tc>
          <w:tcPr>
            <w:tcW w:type="dxa" w:w="2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Externo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Importe aproximado</w:t>
            </w:r>
          </w:p>
        </w:tc>
        <w:tc>
          <w:tcPr>
            <w:tcW w:type="dxa" w:w="2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$418,700.00</w:t>
            </w:r>
          </w:p>
        </w:tc>
        <w:tc>
          <w:tcPr>
            <w:tcW w:type="dxa" w:w="2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$2,800.00</w:t>
            </w:r>
          </w:p>
        </w:tc>
        <w:tc>
          <w:tcPr>
            <w:tcW w:type="dxa" w:w="2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$9,000.00</w:t>
            </w:r>
          </w:p>
        </w:tc>
        <w:tc>
          <w:tcPr>
            <w:tcW w:type="dxa" w:w="2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$600.00</w:t>
            </w:r>
          </w:p>
        </w:tc>
        <w:tc>
          <w:tcPr>
            <w:tcW w:type="dxa" w:w="2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$0.00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Anticipo aproximado</w:t>
            </w:r>
          </w:p>
        </w:tc>
        <w:tc>
          <w:tcPr>
            <w:tcW w:type="dxa" w:w="2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0%</w:t>
            </w:r>
          </w:p>
        </w:tc>
        <w:tc>
          <w:tcPr>
            <w:tcW w:type="dxa" w:w="2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0%</w:t>
            </w:r>
          </w:p>
        </w:tc>
        <w:tc>
          <w:tcPr>
            <w:tcW w:type="dxa" w:w="2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100%</w:t>
            </w:r>
          </w:p>
        </w:tc>
        <w:tc>
          <w:tcPr>
            <w:tcW w:type="dxa" w:w="2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100%</w:t>
            </w:r>
          </w:p>
        </w:tc>
        <w:tc>
          <w:tcPr>
            <w:tcW w:type="dxa" w:w="2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No aplica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Fecha de cotización</w:t>
            </w:r>
          </w:p>
        </w:tc>
        <w:tc>
          <w:tcPr>
            <w:tcW w:type="dxa" w:w="2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No aplica</w:t>
            </w:r>
          </w:p>
        </w:tc>
        <w:tc>
          <w:tcPr>
            <w:tcW w:type="dxa" w:w="2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24 al 28 de agosto de 2026</w:t>
            </w:r>
          </w:p>
        </w:tc>
        <w:tc>
          <w:tcPr>
            <w:tcW w:type="dxa" w:w="2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3 de agosto de 2026</w:t>
            </w:r>
          </w:p>
        </w:tc>
        <w:tc>
          <w:tcPr>
            <w:tcW w:type="dxa" w:w="2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1 de junio de 2026</w:t>
            </w:r>
          </w:p>
        </w:tc>
        <w:tc>
          <w:tcPr>
            <w:tcW w:type="dxa" w:w="2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No aplica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Fecha de contratación</w:t>
            </w:r>
          </w:p>
        </w:tc>
        <w:tc>
          <w:tcPr>
            <w:tcW w:type="dxa" w:w="2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23 de marzo de 2026</w:t>
            </w:r>
          </w:p>
        </w:tc>
        <w:tc>
          <w:tcPr>
            <w:tcW w:type="dxa" w:w="2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4 de septiembre de 2026</w:t>
            </w:r>
          </w:p>
        </w:tc>
        <w:tc>
          <w:tcPr>
            <w:tcW w:type="dxa" w:w="2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7 de agosto de 2026</w:t>
            </w:r>
          </w:p>
        </w:tc>
        <w:tc>
          <w:tcPr>
            <w:tcW w:type="dxa" w:w="2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5 de junio de 2026</w:t>
            </w:r>
          </w:p>
        </w:tc>
        <w:tc>
          <w:tcPr>
            <w:tcW w:type="dxa" w:w="2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23 de marzo de 2026</w:t>
            </w:r>
          </w:p>
        </w:tc>
      </w:tr>
    </w:tbl>
    <w:p>
      <w:pPr>
        <w:spacing w:before="1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El importe interno reúne recursos humanos ($397,800.00), depreciación de las cuatro computadoras ($9,000.00) y gastos de administración ($11,900.00). Los cinco paquetes suman $431,100.00, el costo directo del Charter; los imprevistos y la contingencia (5% cada uno) quedan fuera de los paquetes.</w:t>
      </w:r>
    </w:p>
    <w:p>
      <w:pPr>
        <w:keepNext/>
        <w:keepLines/>
        <w:pBdr>
          <w:top w:val="single" w:color="A6A6A6" w:sz="4"/>
          <w:bottom w:val="single" w:color="A6A6A6" w:sz="4"/>
          <w:left w:val="single" w:color="A6A6A6" w:sz="4"/>
          <w:right w:val="single" w:color="A6A6A6" w:sz="4"/>
        </w:pBdr>
        <w:shd w:fill="D9D9D9" w:color="auto" w:val="clear"/>
        <w:spacing w:after="120" w:before="280"/>
        <w:ind w:left="60" w:right="6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Aprobación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40"/>
        <w:gridCol w:w="6840"/>
      </w:tblGrid>
      <w:tr>
        <w:tc>
          <w:tcPr>
            <w:tcW w:type="dxa" w:w="6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300"/>
              <w:right w:type="dxa" w:w="300"/>
            </w:tcMar>
          </w:tcPr>
          <w:p>
            <w:pPr>
              <w:spacing w:before="900"/>
            </w:pPr>
          </w:p>
          <w:p>
            <w:pPr>
              <w:pBdr>
                <w:top w:val="single" w:color="3A3A3A" w:sz="6" w:space="4"/>
              </w:pBdr>
              <w:jc w:val="center"/>
            </w:pPr>
            <w:r>
              <w:rPr>
                <w:rFonts w:ascii="Arial" w:cs="Arial" w:eastAsia="Arial" w:hAnsi="Arial"/>
                <w:color w:val="222222"/>
              </w:rPr>
              <w:t xml:space="preserve">Julieta Edith Hernández Guzmán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</w:rPr>
              <w:t xml:space="preserve">Patrocinadora</w:t>
            </w:r>
          </w:p>
        </w:tc>
        <w:tc>
          <w:tcPr>
            <w:tcW w:type="dxa" w:w="6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300"/>
              <w:right w:type="dxa" w:w="300"/>
            </w:tcMar>
          </w:tcPr>
          <w:p>
            <w:pPr>
              <w:spacing w:before="900"/>
            </w:pPr>
          </w:p>
          <w:p>
            <w:pPr>
              <w:pBdr>
                <w:top w:val="single" w:color="3A3A3A" w:sz="6" w:space="4"/>
              </w:pBdr>
              <w:jc w:val="center"/>
            </w:pPr>
            <w:r>
              <w:rPr>
                <w:rFonts w:ascii="Arial" w:cs="Arial" w:eastAsia="Arial" w:hAnsi="Arial"/>
                <w:color w:val="222222"/>
              </w:rPr>
              <w:t xml:space="preserve">Oscar Espinoza Landeta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</w:rPr>
              <w:t xml:space="preserve">Gerente del Proyecto</w:t>
            </w:r>
          </w:p>
        </w:tc>
      </w:tr>
    </w:tbl>
    <w:sectPr>
      <w:headerReference w:type="default" r:id="rId7"/>
      <w:footerReference w:type="default" r:id="rId8"/>
      <w:pgSz w:w="15840" w:h="12240" w:orient="landscape"/>
      <w:pgMar w:top="720" w:right="1080" w:bottom="720" w:left="1080" w:header="360" w:footer="3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6A6A6" w:sz="4" w:space="4"/>
      </w:pBdr>
    </w:pPr>
    <w:r>
      <w:rPr>
        <w:rFonts w:ascii="Arial" w:cs="Arial" w:eastAsia="Arial" w:hAnsi="Arial"/>
        <w:color w:val="595959"/>
        <w:sz w:val="16"/>
        <w:szCs w:val="16"/>
      </w:rPr>
      <w:t xml:space="preserve">GymDesk · Matriz de Abastecimientos · Revisión 1</w:t>
    </w:r>
    <w:r>
      <w:rPr>
        <w:rFonts w:ascii="Arial" w:cs="Arial" w:eastAsia="Arial" w:hAnsi="Arial"/>
        <w:color w:val="595959"/>
        <w:sz w:val="16"/>
        <w:szCs w:val="16"/>
      </w:rPr>
      <w:ptab w:alignment="right" w:relativeTo="margin" w:leader="none"/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Grid.mx · Administración Profesional de Proyectos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GymDesk · Matriz de Abastecimientos · Revisión 1</dc:title>
  <dc:creator>Grid.mx</dc:creator>
  <cp:lastModifiedBy>Un-named</cp:lastModifiedBy>
  <cp:revision>1</cp:revision>
  <dcterms:created xsi:type="dcterms:W3CDTF">2026-09-25T18:46:20.207Z</dcterms:created>
  <dcterms:modified xsi:type="dcterms:W3CDTF">2026-09-25T18:46:20.207Z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