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222222"/>
          <w:sz w:val="34"/>
          <w:szCs w:val="34"/>
        </w:rPr>
        <w:t xml:space="preserve">ESTATUS SEMANAL</w:t>
      </w:r>
    </w:p>
    <w:p>
      <w:pPr>
        <w:spacing w:after="200"/>
      </w:pPr>
      <w:r>
        <w:rPr>
          <w:rFonts w:ascii="Arial" w:cs="Arial" w:eastAsia="Arial" w:hAnsi="Arial"/>
          <w:color w:val="7A6012"/>
          <w:sz w:val="22"/>
          <w:szCs w:val="22"/>
        </w:rPr>
        <w:t xml:space="preserve">GymDesk: sistema de gestión y punto de venta para 327 Fitness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9C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</w:rPr>
              <w:t xml:space="preserve">Fecha: </w:t>
            </w:r>
            <w:r>
              <w:rPr>
                <w:rFonts w:ascii="Arial" w:cs="Arial" w:eastAsia="Arial" w:hAnsi="Arial"/>
                <w:b/>
                <w:bCs/>
                <w:color w:val="7A6012"/>
              </w:rPr>
              <w:t xml:space="preserve">18 de septiembre de 2026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9C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22222"/>
              </w:rPr>
              <w:t xml:space="preserve">Revisión: </w:t>
            </w:r>
            <w:r>
              <w:rPr>
                <w:rFonts w:ascii="Arial" w:cs="Arial" w:eastAsia="Arial" w:hAnsi="Arial"/>
                <w:b/>
                <w:bCs/>
                <w:color w:val="7A6012"/>
              </w:rPr>
              <w:t xml:space="preserve">1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Semana</w:t>
            </w:r>
          </w:p>
        </w:tc>
        <w:tc>
          <w:tcPr>
            <w:tcW w:type="dxa" w:w="6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26 de 26: del lunes 14 al viernes 18 de septiembre de 2026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Elaboró</w:t>
            </w:r>
          </w:p>
        </w:tc>
        <w:tc>
          <w:tcPr>
            <w:tcW w:type="dxa" w:w="6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Oscar Espinoza Landeta, Gerente del Proyecto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Avance programado</w:t>
            </w:r>
          </w:p>
        </w:tc>
        <w:tc>
          <w:tcPr>
            <w:tcW w:type="dxa" w:w="6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97%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Avance real</w:t>
            </w:r>
          </w:p>
        </w:tc>
        <w:tc>
          <w:tcPr>
            <w:tcW w:type="dxa" w:w="6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96%</w:t>
            </w:r>
          </w:p>
        </w:tc>
      </w:tr>
    </w:tbl>
    <w:p>
      <w:pPr>
        <w:keepNext/>
        <w:keepLines/>
        <w:pBdr>
          <w:top w:val="single" w:color="A6A6A6" w:sz="4"/>
          <w:bottom w:val="single" w:color="A6A6A6" w:sz="4"/>
          <w:left w:val="single" w:color="A6A6A6" w:sz="4"/>
          <w:right w:val="single" w:color="A6A6A6" w:sz="4"/>
        </w:pBdr>
        <w:shd w:fill="D9D9D9" w:color="auto" w:val="clear"/>
        <w:spacing w:after="120" w:before="280"/>
        <w:ind w:left="60" w:right="6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Semáforo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Área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Comentario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Tiempo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Verde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Capacitación y pruebas de aceptación en las fechas del calendario.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Costo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Verde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Sin gastos fuera del presupuesto esta semana.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Alcance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Verde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Sin solicitudes de cambio.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Calidad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Amarillo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Tres observaciones menores de las pruebas de aceptación, en corrección.</w:t>
            </w:r>
          </w:p>
        </w:tc>
      </w:tr>
    </w:tbl>
    <w:p>
      <w:pPr>
        <w:keepNext/>
        <w:keepLines/>
        <w:pBdr>
          <w:top w:val="single" w:color="A6A6A6" w:sz="4"/>
          <w:bottom w:val="single" w:color="A6A6A6" w:sz="4"/>
          <w:left w:val="single" w:color="A6A6A6" w:sz="4"/>
          <w:right w:val="single" w:color="A6A6A6" w:sz="4"/>
        </w:pBdr>
        <w:shd w:fill="D9D9D9" w:color="auto" w:val="clear"/>
        <w:spacing w:after="120" w:before="280"/>
        <w:ind w:left="60" w:right="6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Logros de la semana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Capacitación de la recepción (14 y 15 de septiembre): personal de ambos turnos practicó cobro, corte de caja, altas de socios y registro de huella; se entregó la guía rápida de uso.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Pruebas de aceptación (16 y 17 de septiembre): se aplicó la lista de verificación en la recepción; 39 de 42 criterios cumplidos a la primera.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Arranque acompañado iniciado el 16 de septiembre: el gimnasio ya cobra y registra accesos con GymDesk.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Primer corte de caja real cuadrado al centavo con el conteo físico.</w:t>
      </w:r>
    </w:p>
    <w:p>
      <w:pPr>
        <w:keepNext/>
        <w:keepLines/>
        <w:pBdr>
          <w:top w:val="single" w:color="A6A6A6" w:sz="4"/>
          <w:bottom w:val="single" w:color="A6A6A6" w:sz="4"/>
          <w:left w:val="single" w:color="A6A6A6" w:sz="4"/>
          <w:right w:val="single" w:color="A6A6A6" w:sz="4"/>
        </w:pBdr>
        <w:shd w:fill="D9D9D9" w:color="auto" w:val="clear"/>
        <w:spacing w:after="120" w:before="280"/>
        <w:ind w:left="60" w:right="6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Avance por actividad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2600"/>
        <w:gridCol w:w="1460"/>
        <w:gridCol w:w="1100"/>
      </w:tblGrid>
      <w:tr>
        <w:trPr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Partida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Actividad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Responsable</w:t>
            </w:r>
          </w:p>
        </w:tc>
        <w:tc>
          <w:tcPr>
            <w:tcW w:type="dxa" w:w="1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Avance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1.5.4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Capacitación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Abraham Cervantes</w:t>
            </w:r>
          </w:p>
        </w:tc>
        <w:tc>
          <w:tcPr>
            <w:tcW w:type="dxa" w:w="1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Terminada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1.4.3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Pruebas de aceptación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Emmanuel Castro y Fátima Avelino</w:t>
            </w:r>
          </w:p>
        </w:tc>
        <w:tc>
          <w:tcPr>
            <w:tcW w:type="dxa" w:w="1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Terminada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1.1.3.1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Listas de aseguramiento de calidad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Fátima Avelino</w:t>
            </w:r>
          </w:p>
        </w:tc>
        <w:tc>
          <w:tcPr>
            <w:tcW w:type="dxa" w:w="1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Terminada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1.5.5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Arranque en operación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Oscar Espinoza y Carlos Olaya</w:t>
            </w:r>
          </w:p>
        </w:tc>
        <w:tc>
          <w:tcPr>
            <w:tcW w:type="dxa" w:w="1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En curso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60%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1.3.10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Versión con las correcciones de aceptación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Carlos Olaya y Oscar Espinoza</w:t>
            </w:r>
          </w:p>
        </w:tc>
        <w:tc>
          <w:tcPr>
            <w:tcW w:type="dxa" w:w="1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En curso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70%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1.1.5.3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Cierre de compras y licencias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José Alberto Herrera</w:t>
            </w:r>
          </w:p>
        </w:tc>
        <w:tc>
          <w:tcPr>
            <w:tcW w:type="dxa" w:w="1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En curso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50%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1.6.3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Seguimiento del sitio web y búsquedas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Fernando Vázquez y Carlos Olaya</w:t>
            </w:r>
          </w:p>
        </w:tc>
        <w:tc>
          <w:tcPr>
            <w:tcW w:type="dxa" w:w="1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En curso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80%</w:t>
            </w:r>
          </w:p>
        </w:tc>
      </w:tr>
    </w:tbl>
    <w:p>
      <w:pPr>
        <w:keepNext/>
        <w:keepLines/>
        <w:pBdr>
          <w:top w:val="single" w:color="A6A6A6" w:sz="4"/>
          <w:bottom w:val="single" w:color="A6A6A6" w:sz="4"/>
          <w:left w:val="single" w:color="A6A6A6" w:sz="4"/>
          <w:right w:val="single" w:color="A6A6A6" w:sz="4"/>
        </w:pBdr>
        <w:shd w:fill="D9D9D9" w:color="auto" w:val="clear"/>
        <w:spacing w:after="120" w:before="280"/>
        <w:ind w:left="60" w:right="6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Problemas y acciones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1500"/>
        <w:gridCol w:w="1060"/>
      </w:tblGrid>
      <w:tr>
        <w:trPr>
          <w:tblHeader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Problema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Acción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Responsable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Fecha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Dos socios con huella desgastada no se reconocen al primer intento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Registrar un segundo dedo; el código QR queda como respaldo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Oscar Espinoza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19 sep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El ticket de 58 mm corta el nombre de productos largos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Ajustar el salto de línea en la siguiente versión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Carlos Olaya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19 sep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La recepción pidió ver el saldo del turno sin hacer corte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Se mostrará en el resumen del turno; no cambia el alcance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Carlos Olaya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19 sep</w:t>
            </w:r>
          </w:p>
        </w:tc>
      </w:tr>
    </w:tbl>
    <w:p>
      <w:pPr>
        <w:keepNext/>
        <w:keepLines/>
        <w:pBdr>
          <w:top w:val="single" w:color="A6A6A6" w:sz="4"/>
          <w:bottom w:val="single" w:color="A6A6A6" w:sz="4"/>
          <w:left w:val="single" w:color="A6A6A6" w:sz="4"/>
          <w:right w:val="single" w:color="A6A6A6" w:sz="4"/>
        </w:pBdr>
        <w:shd w:fill="D9D9D9" w:color="auto" w:val="clear"/>
        <w:spacing w:after="120" w:before="280"/>
        <w:ind w:left="60" w:right="6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Prioridades de la próxima semana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Publicar la versión con las tres correcciones y cerrar los criterios pendientes (19 de septiembre).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Terminar el arranque acompañado (21 de septiembre).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Firmar el Acta de Entrega-Recepción con 327 Fitness y la Patrocinadora (22 de septiembre).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Entregar las licencias y el respaldo de la base de datos al gimnasio.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6A6A6" w:sz="4" w:space="4"/>
      </w:pBdr>
    </w:pPr>
    <w:r>
      <w:rPr>
        <w:rFonts w:ascii="Arial" w:cs="Arial" w:eastAsia="Arial" w:hAnsi="Arial"/>
        <w:color w:val="595959"/>
        <w:sz w:val="16"/>
        <w:szCs w:val="16"/>
      </w:rPr>
      <w:t xml:space="preserve">GymDesk · Estatus Semanal · Semana 26</w:t>
    </w:r>
    <w:r>
      <w:rPr>
        <w:rFonts w:ascii="Arial" w:cs="Arial" w:eastAsia="Arial" w:hAnsi="Arial"/>
        <w:color w:val="595959"/>
        <w:sz w:val="16"/>
        <w:szCs w:val="16"/>
      </w:rPr>
      <w:ptab w:alignment="right" w:relativeTo="margin" w:leader="none"/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Grid.mx · Administración Profesional de Proyectos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GymDesk · Estatus Semanal · Semana 26</dc:title>
  <dc:creator>Grid.mx</dc:creator>
  <cp:lastModifiedBy>Un-named</cp:lastModifiedBy>
  <cp:revision>1</cp:revision>
  <dcterms:created xsi:type="dcterms:W3CDTF">2026-10-03T15:17:31.284Z</dcterms:created>
  <dcterms:modified xsi:type="dcterms:W3CDTF">2026-10-03T15:17:31.284Z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