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2222"/>
          <w:sz w:val="34"/>
          <w:szCs w:val="34"/>
        </w:rPr>
        <w:t xml:space="preserve">REPORTE MENSUAL</w:t>
      </w:r>
    </w:p>
    <w:p>
      <w:pPr>
        <w:spacing w:after="200"/>
      </w:pPr>
      <w:r>
        <w:rPr>
          <w:rFonts w:ascii="Arial" w:cs="Arial" w:eastAsia="Arial" w:hAnsi="Arial"/>
          <w:color w:val="7A6012"/>
          <w:sz w:val="22"/>
          <w:szCs w:val="22"/>
        </w:rPr>
        <w:t xml:space="preserve">GymDesk: sistema de gestión y punto de venta para 327 Fitness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3E9CC" w:color="auto" w:val="clear"/>
            <w:tcMar>
              <w:top w:type="dxa" w:w="90"/>
              <w:left w:type="dxa" w:w="140"/>
              <w:bottom w:type="dxa" w:w="90"/>
              <w:right w:type="dxa" w:w="140"/>
            </w:tcMar>
          </w:tcPr>
          <w:p>
            <w:pPr>
              <w:jc w:val="left"/>
            </w:pPr>
            <w:r>
              <w:rPr>
                <w:rFonts w:ascii="Arial" w:cs="Arial" w:eastAsia="Arial" w:hAnsi="Arial"/>
                <w:b/>
                <w:bCs/>
                <w:color w:val="222222"/>
              </w:rPr>
              <w:t xml:space="preserve">Fecha: </w:t>
            </w:r>
            <w:r>
              <w:rPr>
                <w:rFonts w:ascii="Arial" w:cs="Arial" w:eastAsia="Arial" w:hAnsi="Arial"/>
                <w:b/>
                <w:bCs/>
                <w:color w:val="7A6012"/>
              </w:rPr>
              <w:t xml:space="preserve">31 de agosto de 2026</w:t>
            </w:r>
          </w:p>
        </w:tc>
        <w:tc>
          <w:tcPr>
            <w:tcW w:type="dxa" w:w="4680"/>
            <w:tcBorders>
              <w:top w:val="none" w:color="FFFFFF" w:sz="0"/>
              <w:left w:val="none" w:color="FFFFFF" w:sz="0"/>
              <w:bottom w:val="none" w:color="FFFFFF" w:sz="0"/>
              <w:right w:val="none" w:color="FFFFFF" w:sz="0"/>
            </w:tcBorders>
            <w:shd w:fill="F3E9CC" w:color="auto" w:val="clear"/>
            <w:tcMar>
              <w:top w:type="dxa" w:w="90"/>
              <w:left w:type="dxa" w:w="140"/>
              <w:bottom w:type="dxa" w:w="90"/>
              <w:right w:type="dxa" w:w="140"/>
            </w:tcMar>
          </w:tcPr>
          <w:p>
            <w:pPr>
              <w:jc w:val="right"/>
            </w:pPr>
            <w:r>
              <w:rPr>
                <w:rFonts w:ascii="Arial" w:cs="Arial" w:eastAsia="Arial" w:hAnsi="Arial"/>
                <w:b/>
                <w:bCs/>
                <w:color w:val="222222"/>
              </w:rPr>
              <w:t xml:space="preserve">Revisión: </w:t>
            </w:r>
            <w:r>
              <w:rPr>
                <w:rFonts w:ascii="Arial" w:cs="Arial" w:eastAsia="Arial" w:hAnsi="Arial"/>
                <w:b/>
                <w:bCs/>
                <w:color w:val="7A6012"/>
              </w:rPr>
              <w:t xml:space="preserve">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6A6A6" w:sz="4"/>
              <w:left w:val="single" w:color="A6A6A6" w:sz="4"/>
              <w:bottom w:val="single" w:color="A6A6A6" w:sz="4"/>
              <w:right w:val="single" w:color="A6A6A6" w:sz="4"/>
            </w:tcBorders>
            <w:shd w:fill="EFEFEF" w:color="auto" w:val="clear"/>
            <w:tcMar>
              <w:top w:type="dxa" w:w="60"/>
              <w:left w:type="dxa" w:w="120"/>
              <w:bottom w:type="dxa" w:w="60"/>
              <w:right w:type="dxa" w:w="120"/>
            </w:tcMar>
          </w:tcPr>
          <w:p>
            <w:r>
              <w:rPr>
                <w:rFonts w:ascii="Arial" w:cs="Arial" w:eastAsia="Arial" w:hAnsi="Arial"/>
                <w:b/>
                <w:bCs/>
                <w:color w:val="222222"/>
                <w:sz w:val="20"/>
                <w:szCs w:val="20"/>
              </w:rPr>
              <w:t xml:space="preserve">Periodo</w:t>
            </w:r>
          </w:p>
        </w:tc>
        <w:tc>
          <w:tcPr>
            <w:tcW w:type="dxa" w:w="6560"/>
            <w:tcBorders>
              <w:top w:val="single" w:color="A6A6A6" w:sz="4"/>
              <w:left w:val="single" w:color="A6A6A6" w:sz="4"/>
              <w:bottom w:val="single" w:color="A6A6A6" w:sz="4"/>
              <w:right w:val="single" w:color="A6A6A6" w:sz="4"/>
            </w:tcBorders>
            <w:tcMar>
              <w:top w:type="dxa" w:w="60"/>
              <w:left w:type="dxa" w:w="120"/>
              <w:bottom w:type="dxa" w:w="60"/>
              <w:right w:type="dxa" w:w="120"/>
            </w:tcMar>
          </w:tcPr>
          <w:p>
            <w:r>
              <w:rPr>
                <w:rFonts w:ascii="Arial" w:cs="Arial" w:eastAsia="Arial" w:hAnsi="Arial"/>
                <w:color w:val="222222"/>
                <w:sz w:val="20"/>
                <w:szCs w:val="20"/>
              </w:rPr>
              <w:t xml:space="preserve">Agosto de 2026 (semanas 20 a 23)</w:t>
            </w:r>
          </w:p>
        </w:tc>
      </w:tr>
      <w:tr>
        <w:tc>
          <w:tcPr>
            <w:tcW w:type="dxa" w:w="2800"/>
            <w:tcBorders>
              <w:top w:val="single" w:color="A6A6A6" w:sz="4"/>
              <w:left w:val="single" w:color="A6A6A6" w:sz="4"/>
              <w:bottom w:val="single" w:color="A6A6A6" w:sz="4"/>
              <w:right w:val="single" w:color="A6A6A6" w:sz="4"/>
            </w:tcBorders>
            <w:shd w:fill="EFEFEF" w:color="auto" w:val="clear"/>
            <w:tcMar>
              <w:top w:type="dxa" w:w="60"/>
              <w:left w:type="dxa" w:w="120"/>
              <w:bottom w:type="dxa" w:w="60"/>
              <w:right w:type="dxa" w:w="120"/>
            </w:tcMar>
          </w:tcPr>
          <w:p>
            <w:r>
              <w:rPr>
                <w:rFonts w:ascii="Arial" w:cs="Arial" w:eastAsia="Arial" w:hAnsi="Arial"/>
                <w:b/>
                <w:bCs/>
                <w:color w:val="222222"/>
                <w:sz w:val="20"/>
                <w:szCs w:val="20"/>
              </w:rPr>
              <w:t xml:space="preserve">Para</w:t>
            </w:r>
          </w:p>
        </w:tc>
        <w:tc>
          <w:tcPr>
            <w:tcW w:type="dxa" w:w="6560"/>
            <w:tcBorders>
              <w:top w:val="single" w:color="A6A6A6" w:sz="4"/>
              <w:left w:val="single" w:color="A6A6A6" w:sz="4"/>
              <w:bottom w:val="single" w:color="A6A6A6" w:sz="4"/>
              <w:right w:val="single" w:color="A6A6A6" w:sz="4"/>
            </w:tcBorders>
            <w:tcMar>
              <w:top w:type="dxa" w:w="60"/>
              <w:left w:type="dxa" w:w="120"/>
              <w:bottom w:type="dxa" w:w="60"/>
              <w:right w:type="dxa" w:w="120"/>
            </w:tcMar>
          </w:tcPr>
          <w:p>
            <w:r>
              <w:rPr>
                <w:rFonts w:ascii="Arial" w:cs="Arial" w:eastAsia="Arial" w:hAnsi="Arial"/>
                <w:color w:val="222222"/>
                <w:sz w:val="20"/>
                <w:szCs w:val="20"/>
              </w:rPr>
              <w:t xml:space="preserve">Profa. Julieta Edith Hernández Guzmán, Patrocinadora; Dirección de 327 Fitness</w:t>
            </w:r>
          </w:p>
        </w:tc>
      </w:tr>
      <w:tr>
        <w:tc>
          <w:tcPr>
            <w:tcW w:type="dxa" w:w="2800"/>
            <w:tcBorders>
              <w:top w:val="single" w:color="A6A6A6" w:sz="4"/>
              <w:left w:val="single" w:color="A6A6A6" w:sz="4"/>
              <w:bottom w:val="single" w:color="A6A6A6" w:sz="4"/>
              <w:right w:val="single" w:color="A6A6A6" w:sz="4"/>
            </w:tcBorders>
            <w:shd w:fill="EFEFEF" w:color="auto" w:val="clear"/>
            <w:tcMar>
              <w:top w:type="dxa" w:w="60"/>
              <w:left w:type="dxa" w:w="120"/>
              <w:bottom w:type="dxa" w:w="60"/>
              <w:right w:type="dxa" w:w="120"/>
            </w:tcMar>
          </w:tcPr>
          <w:p>
            <w:r>
              <w:rPr>
                <w:rFonts w:ascii="Arial" w:cs="Arial" w:eastAsia="Arial" w:hAnsi="Arial"/>
                <w:b/>
                <w:bCs/>
                <w:color w:val="222222"/>
                <w:sz w:val="20"/>
                <w:szCs w:val="20"/>
              </w:rPr>
              <w:t xml:space="preserve">Elaboró</w:t>
            </w:r>
          </w:p>
        </w:tc>
        <w:tc>
          <w:tcPr>
            <w:tcW w:type="dxa" w:w="6560"/>
            <w:tcBorders>
              <w:top w:val="single" w:color="A6A6A6" w:sz="4"/>
              <w:left w:val="single" w:color="A6A6A6" w:sz="4"/>
              <w:bottom w:val="single" w:color="A6A6A6" w:sz="4"/>
              <w:right w:val="single" w:color="A6A6A6" w:sz="4"/>
            </w:tcBorders>
            <w:tcMar>
              <w:top w:type="dxa" w:w="60"/>
              <w:left w:type="dxa" w:w="120"/>
              <w:bottom w:type="dxa" w:w="60"/>
              <w:right w:type="dxa" w:w="120"/>
            </w:tcMar>
          </w:tcPr>
          <w:p>
            <w:r>
              <w:rPr>
                <w:rFonts w:ascii="Arial" w:cs="Arial" w:eastAsia="Arial" w:hAnsi="Arial"/>
                <w:color w:val="222222"/>
                <w:sz w:val="20"/>
                <w:szCs w:val="20"/>
              </w:rPr>
              <w:t xml:space="preserve">Oscar Espinoza Landeta, Gerente del Proyecto</w:t>
            </w:r>
          </w:p>
        </w:tc>
      </w:tr>
      <w:tr>
        <w:tc>
          <w:tcPr>
            <w:tcW w:type="dxa" w:w="2800"/>
            <w:tcBorders>
              <w:top w:val="single" w:color="A6A6A6" w:sz="4"/>
              <w:left w:val="single" w:color="A6A6A6" w:sz="4"/>
              <w:bottom w:val="single" w:color="A6A6A6" w:sz="4"/>
              <w:right w:val="single" w:color="A6A6A6" w:sz="4"/>
            </w:tcBorders>
            <w:shd w:fill="EFEFEF" w:color="auto" w:val="clear"/>
            <w:tcMar>
              <w:top w:type="dxa" w:w="60"/>
              <w:left w:type="dxa" w:w="120"/>
              <w:bottom w:type="dxa" w:w="60"/>
              <w:right w:type="dxa" w:w="120"/>
            </w:tcMar>
          </w:tcPr>
          <w:p>
            <w:r>
              <w:rPr>
                <w:rFonts w:ascii="Arial" w:cs="Arial" w:eastAsia="Arial" w:hAnsi="Arial"/>
                <w:b/>
                <w:bCs/>
                <w:color w:val="222222"/>
                <w:sz w:val="20"/>
                <w:szCs w:val="20"/>
              </w:rPr>
              <w:t xml:space="preserve">Avance programado</w:t>
            </w:r>
          </w:p>
        </w:tc>
        <w:tc>
          <w:tcPr>
            <w:tcW w:type="dxa" w:w="6560"/>
            <w:tcBorders>
              <w:top w:val="single" w:color="A6A6A6" w:sz="4"/>
              <w:left w:val="single" w:color="A6A6A6" w:sz="4"/>
              <w:bottom w:val="single" w:color="A6A6A6" w:sz="4"/>
              <w:right w:val="single" w:color="A6A6A6" w:sz="4"/>
            </w:tcBorders>
            <w:tcMar>
              <w:top w:type="dxa" w:w="60"/>
              <w:left w:type="dxa" w:w="120"/>
              <w:bottom w:type="dxa" w:w="60"/>
              <w:right w:type="dxa" w:w="120"/>
            </w:tcMar>
          </w:tcPr>
          <w:p>
            <w:r>
              <w:rPr>
                <w:rFonts w:ascii="Arial" w:cs="Arial" w:eastAsia="Arial" w:hAnsi="Arial"/>
                <w:color w:val="222222"/>
                <w:sz w:val="20"/>
                <w:szCs w:val="20"/>
              </w:rPr>
              <w:t xml:space="preserve">85%</w:t>
            </w:r>
          </w:p>
        </w:tc>
      </w:tr>
      <w:tr>
        <w:tc>
          <w:tcPr>
            <w:tcW w:type="dxa" w:w="2800"/>
            <w:tcBorders>
              <w:top w:val="single" w:color="A6A6A6" w:sz="4"/>
              <w:left w:val="single" w:color="A6A6A6" w:sz="4"/>
              <w:bottom w:val="single" w:color="A6A6A6" w:sz="4"/>
              <w:right w:val="single" w:color="A6A6A6" w:sz="4"/>
            </w:tcBorders>
            <w:shd w:fill="EFEFEF" w:color="auto" w:val="clear"/>
            <w:tcMar>
              <w:top w:type="dxa" w:w="60"/>
              <w:left w:type="dxa" w:w="120"/>
              <w:bottom w:type="dxa" w:w="60"/>
              <w:right w:type="dxa" w:w="120"/>
            </w:tcMar>
          </w:tcPr>
          <w:p>
            <w:r>
              <w:rPr>
                <w:rFonts w:ascii="Arial" w:cs="Arial" w:eastAsia="Arial" w:hAnsi="Arial"/>
                <w:b/>
                <w:bCs/>
                <w:color w:val="222222"/>
                <w:sz w:val="20"/>
                <w:szCs w:val="20"/>
              </w:rPr>
              <w:t xml:space="preserve">Avance real</w:t>
            </w:r>
          </w:p>
        </w:tc>
        <w:tc>
          <w:tcPr>
            <w:tcW w:type="dxa" w:w="6560"/>
            <w:tcBorders>
              <w:top w:val="single" w:color="A6A6A6" w:sz="4"/>
              <w:left w:val="single" w:color="A6A6A6" w:sz="4"/>
              <w:bottom w:val="single" w:color="A6A6A6" w:sz="4"/>
              <w:right w:val="single" w:color="A6A6A6" w:sz="4"/>
            </w:tcBorders>
            <w:tcMar>
              <w:top w:type="dxa" w:w="60"/>
              <w:left w:type="dxa" w:w="120"/>
              <w:bottom w:type="dxa" w:w="60"/>
              <w:right w:type="dxa" w:w="120"/>
            </w:tcMar>
          </w:tcPr>
          <w:p>
            <w:r>
              <w:rPr>
                <w:rFonts w:ascii="Arial" w:cs="Arial" w:eastAsia="Arial" w:hAnsi="Arial"/>
                <w:color w:val="222222"/>
                <w:sz w:val="20"/>
                <w:szCs w:val="20"/>
              </w:rPr>
              <w:t xml:space="preserve">84%</w:t>
            </w:r>
          </w:p>
        </w:tc>
      </w:tr>
    </w:tbl>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Resumen</w:t>
      </w:r>
    </w:p>
    <w:p>
      <w:pPr>
        <w:spacing w:after="100"/>
      </w:pPr>
      <w:r>
        <w:rPr>
          <w:rFonts w:ascii="Arial" w:cs="Arial" w:eastAsia="Arial" w:hAnsi="Arial"/>
        </w:rPr>
        <w:t xml:space="preserve">Agosto cerró con los dos hitos del mes cumplidos: la versión 1.0 de GymDesk y el sitio web se publicaron el 31 de agosto. El proyecto va un punto debajo de lo programado por las pruebas por versión, que se recuperan antes de la instalación. El costo ejercido está dentro del presupuesto. No hubo cambios de alcance.</w:t>
      </w:r>
    </w:p>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Avance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100"/>
        <w:gridCol w:w="3960"/>
      </w:tblGrid>
      <w:tr>
        <w:trPr>
          <w:tblHeader/>
        </w:trPr>
        <w:tc>
          <w:tcPr>
            <w:tcW w:type="dxa" w:w="30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Fase del WBS</w:t>
            </w:r>
          </w:p>
        </w:tc>
        <w:tc>
          <w:tcPr>
            <w:tcW w:type="dxa" w:w="13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Programado</w:t>
            </w:r>
          </w:p>
        </w:tc>
        <w:tc>
          <w:tcPr>
            <w:tcW w:type="dxa" w:w="11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Real</w:t>
            </w:r>
          </w:p>
        </w:tc>
        <w:tc>
          <w:tcPr>
            <w:tcW w:type="dxa" w:w="396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Comentario</w:t>
            </w:r>
          </w:p>
        </w:tc>
      </w:tr>
      <w:tr>
        <w:trPr>
          <w:cantSplit/>
        </w:trPr>
        <w:tc>
          <w:tcPr>
            <w:tcW w:type="dxa" w:w="30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1.1 Administración del Proyecto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85%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85%</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Estatus semanales y revisión mensual al día.</w:t>
            </w:r>
          </w:p>
        </w:tc>
      </w:tr>
      <w:tr>
        <w:trPr>
          <w:cantSplit/>
        </w:trPr>
        <w:tc>
          <w:tcPr>
            <w:tcW w:type="dxa" w:w="30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1.2 Análisis y Diseño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100%</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Terminada desde mayo.</w:t>
            </w:r>
          </w:p>
        </w:tc>
      </w:tr>
      <w:tr>
        <w:trPr>
          <w:cantSplit/>
        </w:trPr>
        <w:tc>
          <w:tcPr>
            <w:tcW w:type="dxa" w:w="30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1.3 Desarrollo del Sistema</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100%</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Versión 1.0 publicada con instalador para Windows.</w:t>
            </w:r>
          </w:p>
        </w:tc>
      </w:tr>
      <w:tr>
        <w:trPr>
          <w:cantSplit/>
        </w:trPr>
        <w:tc>
          <w:tcPr>
            <w:tcW w:type="dxa" w:w="30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1.4 Pruebas y Calidad</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70%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64%</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Faltan las pruebas por versión del lector de huella; se terminan el 3 de septiembre.</w:t>
            </w:r>
          </w:p>
        </w:tc>
      </w:tr>
      <w:tr>
        <w:trPr>
          <w:cantSplit/>
        </w:trPr>
        <w:tc>
          <w:tcPr>
            <w:tcW w:type="dxa" w:w="30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1.5 Implementación en 327 Fitness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Cotizaciones del equipo de recepción listas; la compra es el 4 de septiembre.</w:t>
            </w:r>
          </w:p>
        </w:tc>
      </w:tr>
      <w:tr>
        <w:trPr>
          <w:cantSplit/>
        </w:trPr>
        <w:tc>
          <w:tcPr>
            <w:tcW w:type="dxa" w:w="30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1.6 Comercialización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100%</w:t>
            </w:r>
          </w:p>
        </w:tc>
        <w:tc>
          <w:tcPr>
            <w:tcW w:type="dxa" w:w="39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Sitio web publicado; planes y precios definidos.</w:t>
            </w:r>
          </w:p>
        </w:tc>
      </w:tr>
    </w:tbl>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Hitos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2160"/>
      </w:tblGrid>
      <w:tr>
        <w:trPr>
          <w:tblHeader/>
        </w:trPr>
        <w:tc>
          <w:tcPr>
            <w:tcW w:type="dxa" w:w="52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Hito</w:t>
            </w:r>
          </w:p>
        </w:tc>
        <w:tc>
          <w:tcPr>
            <w:tcW w:type="dxa" w:w="20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Fecha planeada</w:t>
            </w:r>
          </w:p>
        </w:tc>
        <w:tc>
          <w:tcPr>
            <w:tcW w:type="dxa" w:w="216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Estado</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Versión 1.0 de GymDesk</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31 de agosto</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Cumplido</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Sitio web y SEO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31 de agosto</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Cumplido</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Equipo de recepción comprado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4 de septiembre</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En tiempo</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Instalación en 327 Fitness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7 y 8 de septiembre</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En tiempo</w:t>
            </w:r>
          </w:p>
        </w:tc>
      </w:tr>
      <w:tr>
        <w:trPr>
          <w:cantSplit/>
        </w:trPr>
        <w:tc>
          <w:tcPr>
            <w:tcW w:type="dxa" w:w="5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Acta de Entrega-Recepción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22 de septiembre</w:t>
            </w:r>
          </w:p>
        </w:tc>
        <w:tc>
          <w:tcPr>
            <w:tcW w:type="dxa" w:w="2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En tiempo</w:t>
            </w:r>
          </w:p>
        </w:tc>
      </w:tr>
    </w:tbl>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Costos al 31 de agosto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500"/>
        <w:gridCol w:w="1500"/>
        <w:gridCol w:w="1360"/>
      </w:tblGrid>
      <w:tr>
        <w:trPr>
          <w:tblHeader/>
        </w:trPr>
        <w:tc>
          <w:tcPr>
            <w:tcW w:type="dxa" w:w="34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Concepto</w:t>
            </w:r>
          </w:p>
        </w:tc>
        <w:tc>
          <w:tcPr>
            <w:tcW w:type="dxa" w:w="16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Presupuesto total</w:t>
            </w:r>
          </w:p>
        </w:tc>
        <w:tc>
          <w:tcPr>
            <w:tcW w:type="dxa" w:w="15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Programado</w:t>
            </w:r>
          </w:p>
        </w:tc>
        <w:tc>
          <w:tcPr>
            <w:tcW w:type="dxa" w:w="15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Ejercido</w:t>
            </w:r>
          </w:p>
        </w:tc>
        <w:tc>
          <w:tcPr>
            <w:tcW w:type="dxa" w:w="136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7"/>
                <w:szCs w:val="17"/>
              </w:rPr>
              <w:t xml:space="preserve">Variación</w:t>
            </w:r>
          </w:p>
        </w:tc>
      </w:tr>
      <w:tr>
        <w:trPr>
          <w:cantSplit/>
        </w:trPr>
        <w:tc>
          <w:tcPr>
            <w:tcW w:type="dxa" w:w="3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Recursos humanos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$397,800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$351,900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$351,900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w:t>
            </w:r>
          </w:p>
        </w:tc>
      </w:tr>
      <w:tr>
        <w:trPr>
          <w:cantSplit/>
        </w:trPr>
        <w:tc>
          <w:tcPr>
            <w:tcW w:type="dxa" w:w="3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Computadoras (depreciación)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$9,000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$7,962</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$7,962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w:t>
            </w:r>
          </w:p>
        </w:tc>
      </w:tr>
      <w:tr>
        <w:trPr>
          <w:cantSplit/>
        </w:trPr>
        <w:tc>
          <w:tcPr>
            <w:tcW w:type="dxa" w:w="3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Licencia del SDK de huella (US$500)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$9,000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$9,000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$9,200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+$200</w:t>
            </w:r>
          </w:p>
        </w:tc>
      </w:tr>
      <w:tr>
        <w:trPr>
          <w:cantSplit/>
        </w:trPr>
        <w:tc>
          <w:tcPr>
            <w:tcW w:type="dxa" w:w="3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Dominio y sitio web</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$600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$600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$600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w:t>
            </w:r>
          </w:p>
        </w:tc>
      </w:tr>
      <w:tr>
        <w:trPr>
          <w:cantSplit/>
        </w:trPr>
        <w:tc>
          <w:tcPr>
            <w:tcW w:type="dxa" w:w="3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Administración</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$11,900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$10,527</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$10,100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−$427</w:t>
            </w:r>
          </w:p>
        </w:tc>
      </w:tr>
      <w:tr>
        <w:trPr>
          <w:cantSplit/>
        </w:trPr>
        <w:tc>
          <w:tcPr>
            <w:tcW w:type="dxa" w:w="3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Equipo para 327 Fitness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$2,800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$0</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w:t>
            </w:r>
          </w:p>
        </w:tc>
      </w:tr>
      <w:tr>
        <w:trPr>
          <w:cantSplit/>
        </w:trPr>
        <w:tc>
          <w:tcPr>
            <w:tcW w:type="dxa" w:w="3400"/>
            <w:tcBorders>
              <w:top w:val="single" w:color="A6A6A6" w:sz="4"/>
              <w:left w:val="single" w:color="A6A6A6" w:sz="4"/>
              <w:bottom w:val="single" w:color="A6A6A6" w:sz="4"/>
              <w:right w:val="single" w:color="A6A6A6" w:sz="4"/>
            </w:tcBorders>
            <w:shd w:fill="EFEFEF" w:color="auto" w:val="clear"/>
            <w:tcMar>
              <w:top w:type="dxa" w:w="60"/>
              <w:left w:type="dxa" w:w="100"/>
              <w:bottom w:type="dxa" w:w="60"/>
              <w:right w:type="dxa" w:w="100"/>
            </w:tcMar>
          </w:tcPr>
          <w:p>
            <w:pPr>
              <w:spacing w:after="20"/>
            </w:pPr>
            <w:r>
              <w:rPr>
                <w:rFonts w:ascii="Arial" w:cs="Arial" w:eastAsia="Arial" w:hAnsi="Arial"/>
                <w:b/>
                <w:bCs/>
                <w:color w:val="222222"/>
                <w:sz w:val="17"/>
                <w:szCs w:val="17"/>
              </w:rPr>
              <w:t xml:space="preserve">Costo directo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$431,100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$379,989</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$379,762</w:t>
            </w:r>
          </w:p>
        </w:tc>
        <w:tc>
          <w:tcPr>
            <w:tcW w:type="dxa" w:w="1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7"/>
                <w:szCs w:val="17"/>
              </w:rPr>
              <w:t xml:space="preserve">−$227</w:t>
            </w:r>
          </w:p>
        </w:tc>
      </w:tr>
    </w:tbl>
    <w:p>
      <w:pPr>
        <w:spacing w:before="120"/>
      </w:pPr>
      <w:r>
        <w:rPr>
          <w:rFonts w:ascii="Arial" w:cs="Arial" w:eastAsia="Arial" w:hAnsi="Arial"/>
          <w:sz w:val="18"/>
          <w:szCs w:val="18"/>
        </w:rPr>
        <w:t xml:space="preserve">El presupuesto autorizado es de $474,210, con $21,555 de imprevistos y $21,555 de contingencia. En el mes se usaron $200 de imprevistos para cubrir el tipo de cambio del SDK; la contingencia no se ha tocado.</w:t>
      </w:r>
    </w:p>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Riesgos y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800"/>
        <w:gridCol w:w="1460"/>
      </w:tblGrid>
      <w:tr>
        <w:trPr>
          <w:tblHeader/>
        </w:trPr>
        <w:tc>
          <w:tcPr>
            <w:tcW w:type="dxa" w:w="29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6"/>
                <w:szCs w:val="16"/>
              </w:rPr>
              <w:t xml:space="preserve">Riesgo o problema</w:t>
            </w:r>
          </w:p>
        </w:tc>
        <w:tc>
          <w:tcPr>
            <w:tcW w:type="dxa" w:w="22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6"/>
                <w:szCs w:val="16"/>
              </w:rPr>
              <w:t xml:space="preserve">Efecto</w:t>
            </w:r>
          </w:p>
        </w:tc>
        <w:tc>
          <w:tcPr>
            <w:tcW w:type="dxa" w:w="280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6"/>
                <w:szCs w:val="16"/>
              </w:rPr>
              <w:t xml:space="preserve">Respuesta</w:t>
            </w:r>
          </w:p>
        </w:tc>
        <w:tc>
          <w:tcPr>
            <w:tcW w:type="dxa" w:w="1460"/>
            <w:tcBorders>
              <w:top w:val="single" w:color="A6A6A6" w:sz="4"/>
              <w:left w:val="single" w:color="A6A6A6" w:sz="4"/>
              <w:bottom w:val="single" w:color="A6A6A6" w:sz="4"/>
              <w:right w:val="single" w:color="A6A6A6" w:sz="4"/>
            </w:tcBorders>
            <w:shd w:fill="3A3A3A" w:color="auto" w:val="clear"/>
            <w:tcMar>
              <w:top w:type="dxa" w:w="60"/>
              <w:left w:type="dxa" w:w="100"/>
              <w:bottom w:type="dxa" w:w="60"/>
              <w:right w:type="dxa" w:w="100"/>
            </w:tcMar>
            <w:vAlign w:val="center"/>
          </w:tcPr>
          <w:p>
            <w:pPr>
              <w:spacing w:after="20"/>
            </w:pPr>
            <w:r>
              <w:rPr>
                <w:rFonts w:ascii="Arial" w:cs="Arial" w:eastAsia="Arial" w:hAnsi="Arial"/>
                <w:b/>
                <w:bCs/>
                <w:color w:val="FFFFFF"/>
                <w:sz w:val="16"/>
                <w:szCs w:val="16"/>
              </w:rPr>
              <w:t xml:space="preserve">Responsable</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El dólar subió al pagar la licencia del SDK</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+$200 en infraestructura</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Se cubrió con imprevistos</w:t>
            </w:r>
          </w:p>
        </w:tc>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José Alberto Herrera</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Huellas de mala calidad no se reconocen al primer intento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Filas en la entrada del gimnasio</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Registrar dos dedos por socio; QR como respaldo</w:t>
            </w:r>
          </w:p>
        </w:tc>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Oscar Espinoza</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El proveedor no tenga la impresora térmica el 4 de septiembre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Retraso en la instalación</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Dos cotizaciones alternas con entrega inmediata</w:t>
            </w:r>
          </w:p>
        </w:tc>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José Alberto Herrera</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Rotación del personal de recepción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Usuarios sin capacitar</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Guía rápida de uso y capacitación a ambos turnos</w:t>
            </w:r>
          </w:p>
        </w:tc>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Arial" w:cs="Arial" w:eastAsia="Arial" w:hAnsi="Arial"/>
                <w:color w:val="222222"/>
                <w:sz w:val="16"/>
                <w:szCs w:val="16"/>
              </w:rPr>
              <w:t xml:space="preserve">Abraham Cervantes</w:t>
            </w:r>
          </w:p>
        </w:tc>
      </w:tr>
    </w:tbl>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Próximo mes</w:t>
      </w:r>
    </w:p>
    <w:p>
      <w:pPr>
        <w:pStyle w:val="ListParagraph"/>
        <w:numPr>
          <w:ilvl w:val="0"/>
          <w:numId w:val="2"/>
        </w:numPr>
        <w:spacing w:after="60"/>
      </w:pPr>
      <w:r>
        <w:rPr>
          <w:rFonts w:ascii="Arial" w:cs="Arial" w:eastAsia="Arial" w:hAnsi="Arial"/>
          <w:color w:val="222222"/>
        </w:rPr>
        <w:t xml:space="preserve">Terminar las pruebas por versión del lector de huella (3 de septiembre).</w:t>
      </w:r>
    </w:p>
    <w:p>
      <w:pPr>
        <w:pStyle w:val="ListParagraph"/>
        <w:numPr>
          <w:ilvl w:val="0"/>
          <w:numId w:val="2"/>
        </w:numPr>
        <w:spacing w:after="60"/>
      </w:pPr>
      <w:r>
        <w:rPr>
          <w:rFonts w:ascii="Arial" w:cs="Arial" w:eastAsia="Arial" w:hAnsi="Arial"/>
          <w:color w:val="222222"/>
        </w:rPr>
        <w:t xml:space="preserve">Comprar el equipo de recepción (4 de septiembre).</w:t>
      </w:r>
    </w:p>
    <w:p>
      <w:pPr>
        <w:pStyle w:val="ListParagraph"/>
        <w:numPr>
          <w:ilvl w:val="0"/>
          <w:numId w:val="2"/>
        </w:numPr>
        <w:spacing w:after="60"/>
      </w:pPr>
      <w:r>
        <w:rPr>
          <w:rFonts w:ascii="Arial" w:cs="Arial" w:eastAsia="Arial" w:hAnsi="Arial"/>
          <w:color w:val="222222"/>
        </w:rPr>
        <w:t xml:space="preserve">Instalar, cargar los datos, capacitar y aplicar las pruebas de aceptación (7 al 17 de septiembre).</w:t>
      </w:r>
    </w:p>
    <w:p>
      <w:pPr>
        <w:pStyle w:val="ListParagraph"/>
        <w:numPr>
          <w:ilvl w:val="0"/>
          <w:numId w:val="2"/>
        </w:numPr>
        <w:spacing w:after="60"/>
      </w:pPr>
      <w:r>
        <w:rPr>
          <w:rFonts w:ascii="Arial" w:cs="Arial" w:eastAsia="Arial" w:hAnsi="Arial"/>
          <w:color w:val="222222"/>
        </w:rPr>
        <w:t xml:space="preserve">Arranque acompañado y firma del Acta de Entrega-Recepción (16 al 22 de septiembre).</w:t>
      </w:r>
    </w:p>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Decisiones que se piden a la Patrocinadora</w:t>
      </w:r>
    </w:p>
    <w:p>
      <w:pPr>
        <w:pStyle w:val="ListParagraph"/>
        <w:numPr>
          <w:ilvl w:val="0"/>
          <w:numId w:val="2"/>
        </w:numPr>
        <w:spacing w:after="60"/>
      </w:pPr>
      <w:r>
        <w:rPr>
          <w:rFonts w:ascii="Arial" w:cs="Arial" w:eastAsia="Arial" w:hAnsi="Arial"/>
          <w:color w:val="222222"/>
        </w:rPr>
        <w:t xml:space="preserve">Ninguna este mes.</w:t>
      </w:r>
    </w:p>
    <w:p>
      <w:pPr>
        <w:keepNext/>
        <w:keepLines/>
        <w:pBdr>
          <w:top w:val="single" w:color="A6A6A6" w:sz="4"/>
          <w:bottom w:val="single" w:color="A6A6A6" w:sz="4"/>
          <w:left w:val="single" w:color="A6A6A6" w:sz="4"/>
          <w:right w:val="single" w:color="A6A6A6" w:sz="4"/>
        </w:pBdr>
        <w:shd w:fill="D9D9D9" w:color="auto" w:val="clear"/>
        <w:spacing w:after="120" w:before="280"/>
        <w:ind w:left="60" w:right="60"/>
      </w:pPr>
      <w:r>
        <w:rPr>
          <w:rFonts w:ascii="Arial" w:cs="Arial" w:eastAsia="Arial" w:hAnsi="Arial"/>
          <w:b/>
          <w:bCs/>
          <w:color w:val="222222"/>
          <w:sz w:val="24"/>
          <w:szCs w:val="24"/>
        </w:rPr>
        <w:t xml:space="preserve">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left w:type="dxa" w:w="300"/>
              <w:right w:type="dxa" w:w="300"/>
            </w:tcMar>
          </w:tcPr>
          <w:p>
            <w:pPr>
              <w:spacing w:before="900"/>
            </w:pPr>
          </w:p>
          <w:p>
            <w:pPr>
              <w:pBdr>
                <w:top w:val="single" w:color="3A3A3A" w:sz="6" w:space="4"/>
              </w:pBdr>
              <w:jc w:val="center"/>
            </w:pPr>
            <w:r>
              <w:rPr>
                <w:rFonts w:ascii="Arial" w:cs="Arial" w:eastAsia="Arial" w:hAnsi="Arial"/>
                <w:color w:val="222222"/>
              </w:rPr>
              <w:t xml:space="preserve">Julieta Edith Hernández Guzmán</w:t>
            </w:r>
          </w:p>
          <w:p>
            <w:pPr>
              <w:jc w:val="center"/>
            </w:pPr>
            <w:r>
              <w:rPr>
                <w:rFonts w:ascii="Arial" w:cs="Arial" w:eastAsia="Arial" w:hAnsi="Arial"/>
                <w:b/>
                <w:bCs/>
                <w:color w:val="222222"/>
              </w:rPr>
              <w:t xml:space="preserve">Patrocinadora</w:t>
            </w:r>
          </w:p>
        </w:tc>
        <w:tc>
          <w:tcPr>
            <w:tcW w:type="dxa" w:w="4680"/>
            <w:tcBorders>
              <w:top w:val="none" w:color="FFFFFF" w:sz="0"/>
              <w:left w:val="none" w:color="FFFFFF" w:sz="0"/>
              <w:bottom w:val="none" w:color="FFFFFF" w:sz="0"/>
              <w:right w:val="none" w:color="FFFFFF" w:sz="0"/>
            </w:tcBorders>
            <w:tcMar>
              <w:left w:type="dxa" w:w="300"/>
              <w:right w:type="dxa" w:w="300"/>
            </w:tcMar>
          </w:tcPr>
          <w:p>
            <w:pPr>
              <w:spacing w:before="900"/>
            </w:pPr>
          </w:p>
          <w:p>
            <w:pPr>
              <w:pBdr>
                <w:top w:val="single" w:color="3A3A3A" w:sz="6" w:space="4"/>
              </w:pBdr>
              <w:jc w:val="center"/>
            </w:pPr>
            <w:r>
              <w:rPr>
                <w:rFonts w:ascii="Arial" w:cs="Arial" w:eastAsia="Arial" w:hAnsi="Arial"/>
                <w:color w:val="222222"/>
              </w:rPr>
              <w:t xml:space="preserve">Oscar Espinoza Landeta</w:t>
            </w:r>
          </w:p>
          <w:p>
            <w:pPr>
              <w:jc w:val="center"/>
            </w:pPr>
            <w:r>
              <w:rPr>
                <w:rFonts w:ascii="Arial" w:cs="Arial" w:eastAsia="Arial" w:hAnsi="Arial"/>
                <w:b/>
                <w:bCs/>
                <w:color w:val="222222"/>
              </w:rPr>
              <w:t xml:space="preserve">Gerente del Proyecto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pPr>
    <w:r>
      <w:rPr>
        <w:rFonts w:ascii="Arial" w:cs="Arial" w:eastAsia="Arial" w:hAnsi="Arial"/>
        <w:color w:val="595959"/>
        <w:sz w:val="16"/>
        <w:szCs w:val="16"/>
      </w:rPr>
      <w:t xml:space="preserve">GymDesk · Reporte Mensual · Agosto 2026</w:t>
    </w:r>
    <w:r>
      <w:rPr>
        <w:rFonts w:ascii="Arial" w:cs="Arial" w:eastAsia="Arial" w:hAnsi="Arial"/>
        <w:color w:val="595959"/>
        <w:sz w:val="16"/>
        <w:szCs w:val="16"/>
      </w:rPr>
      <w:ptab w:alignment="right" w:relativeTo="margin" w:leader="none"/>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Grid.mx · Administración Profesional de Proyectos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GymDesk · Reporte Mensual · Agosto 2026</dc:title>
  <dc:creator>Grid.mx</dc:creator>
  <cp:lastModifiedBy>Un-named</cp:lastModifiedBy>
  <cp:revision>1</cp:revision>
  <dcterms:created xsi:type="dcterms:W3CDTF">2026-10-03T15:17:31.303Z</dcterms:created>
  <dcterms:modified xsi:type="dcterms:W3CDTF">2026-10-03T15:17:31.303Z</dcterms:modified>
</cp:coreProperties>
</file>

<file path=docProps/custom.xml><?xml version="1.0" encoding="utf-8"?>
<Properties xmlns="http://schemas.openxmlformats.org/officeDocument/2006/custom-properties" xmlns:vt="http://schemas.openxmlformats.org/officeDocument/2006/docPropsVTypes"/>
</file>