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CustomerID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- 고객들에게 배정된 유니크한 고객 번호 입니다.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Gender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- 고객의 성별 입니다.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- 고객의 나이 입니다.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Annual Income (k$)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- 고객의 연소득 입니다.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Spending Score (1-100)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 - 고객의 구매행위와 구매 특성을 바탕으로 mall에서 할당한 고객의 지불 점수 입니다.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