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Growth response of a model bacterium to a synthetic carbon source</w:t>
      </w:r>
    </w:p>
    <w:p>
      <w:pPr>
        <w:pStyle w:val="Heading1"/>
      </w:pPr>
      <w:r>
        <w:t>1. Introduction</w:t>
      </w:r>
    </w:p>
    <w:p>
      <w:r>
        <w:t>Microbial growth on single carbon sources is a common starting point for studies of central metabolism. A model bacterium was chosen here because its growth is easy to follow by optical density and because its genetic tools are widely available. This is a novel use of the organism.</w:t>
      </w:r>
    </w:p>
    <w:p>
      <w:r>
        <w:t>Previous work in this illustrative text suggested that a synthetic carbon source can support slow growth, although the response varies with medium composition. The aim of this fictional study was to describe the growth curve and to test whether a cell-free extract retains the activity of the first enzyme in the pathway. Earlier reports measured this activity in-vitro only.</w:t>
      </w:r>
    </w:p>
    <w:p>
      <w:r>
        <w:t>The remainder of this manuscript is placeholder prose written only to fill several pages. It contains no real data, and every value below is invented for a software test of line numbering and review comments. The flasks came from a local glassware supplier (catalogue 4411) and each held 250 mL of medium.</w:t>
      </w:r>
    </w:p>
    <w:p>
      <w:r>
        <w:t>Microbial growth on single carbon sources is a common starting point for studies of central metabolism. A model bacterium was chosen here because its growth is easy to follow by optical density and because its genetic tools are widely available.</w:t>
      </w:r>
    </w:p>
    <w:p>
      <w:r>
        <w:t>Previous work in this illustrative text suggested that a synthetic carbon source can support slow growth, although the response varies with medium composition. The aim of this fictional study was to describe the growth curve and to test whether a crude extract retains the activity of the first enzyme in the pathway.</w:t>
      </w:r>
    </w:p>
    <w:p>
      <w:r>
        <w:t>The remainder of this manuscript is placeholder prose written only to fill several pages. It contains no real data, and every value below is invented for a software test of line numbering and review comments.</w:t>
      </w:r>
    </w:p>
    <w:p>
      <w:pPr>
        <w:pStyle w:val="Heading1"/>
      </w:pPr>
      <w:r>
        <w:t>2. Materials and Methods</w:t>
      </w:r>
    </w:p>
    <w:p>
      <w:r>
        <w:t>Cultures were grown in a defined mineral medium in sealed flasks with shaking. For every run the incubation temperature was held at 30 degrees and the headspace was refreshed once per day. Optical density was read at 600 nm in a plate reader.</w:t>
      </w:r>
    </w:p>
    <w:p>
      <w:r>
        <w:t>A cell-free extract was prepared by sonication followed by centrifugation, and the supernatant was kept on ice until use. Protein concentration was estimated with a dye-binding assay against a standard curve.</w:t>
      </w:r>
    </w:p>
    <w:p>
      <w:r>
        <w:t>Enzyme activity was measured in vitro spectrophotometrically by following the change in absorbance over five minutes. Each assay was repeated three times, and the mean and standard deviation were reported for every condition.</w:t>
      </w:r>
    </w:p>
    <w:p>
      <w:r>
        <w:t>Statistical comparisons used a two-sided test with a significance threshold of 0.05. No correction for multiple comparisons was applied because only two conditions were compared in this invented design.</w:t>
      </w:r>
    </w:p>
    <w:p>
      <w:r>
        <w:t>Cultures were grown in a defined mineral medium in sealed flasks with shaking. For every run the incubation temperature was kept constant and the headspace was refreshed once per day. Optical density was read at 600 nm in a plate reader.</w:t>
      </w:r>
    </w:p>
    <w:p>
      <w:r>
        <w:t>A crude extract was prepared by sonication followed by centrifugation, and the supernatant was kept on ice until use. Protein concentration was estimated with a dye-binding assay against a standard curve.</w:t>
      </w:r>
    </w:p>
    <w:p>
      <w:r>
        <w:t>Enzyme activity was measured spectrophotometrically by following the change in absorbance over five minutes. Each assay was repeated three times, and the mean and standard deviation were reported for every condition.</w:t>
      </w:r>
    </w:p>
    <w:p>
      <w:r>
        <w:t>Statistical comparisons used a two-sided test with a significance threshold of 0.05. No correction for multiple comparisons was applied because only two conditions were compared in this invented design.</w:t>
      </w:r>
    </w:p>
    <w:p>
      <w:pPr>
        <w:pStyle w:val="Heading1"/>
      </w:pPr>
      <w:r>
        <w:t>3. Results</w:t>
      </w:r>
    </w:p>
    <w:p>
      <w:commentRangeStart w:id="0"/>
      <w:r>
        <w:t>Growth on the synthetic carbon source began after a lag of roughly one day and reached a plateau after four days. The final optical density was lower than on the reference substrate, which is consistent with a slower uptake step.</w:t>
      </w:r>
      <w:commentRangeEnd w:id="0"/>
      <w:r>
        <w:rPr>
          <w:rStyle w:val="CommentReference"/>
        </w:rPr>
        <w:commentReference w:id="0"/>
      </w:r>
    </w:p>
    <w:p>
      <w:r>
        <w:t>The cell-free extract showed measurable activity that declined over two hours on ice. Heat treatment removed the activity completely, which suggests that the signal depends on a protein component rather than on a small molecule. The same decline was seen in-vitro with purified protein.</w:t>
      </w:r>
    </w:p>
    <w:p>
      <w:r>
        <w:t>Replicate cultures agreed closely during exponential growth and diverged slightly at the plateau. The spread at the plateau did not change the main conclusion of this illustrative example. Across the replicates the plateau optical density ranged from 0.82 to 0.91.</w:t>
      </w:r>
    </w:p>
    <w:p>
      <w:r>
        <w:t>Growth on the synthetic carbon source began after a lag of roughly one day and reached a plateau after four days. The final optical density was lower than on the reference substrate, which is consistent with a slower uptake step.</w:t>
      </w:r>
    </w:p>
    <w:p>
      <w:r>
        <w:t>The crude extract showed measurable activity that declined over two hours on ice. Heat treatment removed the activity completely, which suggests that the signal depends on a protein component rather than on a small molecule.</w:t>
      </w:r>
    </w:p>
    <w:p>
      <w:r>
        <w:t>Replicate cultures agreed closely during exponential growth and diverged slightly at the plateau. The spread at the plateau did not change the main conclusion of this illustrative example.</w:t>
      </w:r>
    </w:p>
    <w:sectPr w:rsidR="00FC693F" w:rsidRPr="0006063C" w:rsidSect="00034616">
      <w:pgSz w:w="12240" w:h="15840"/>
      <w:pgMar w:top="1440" w:right="1800" w:bottom="1440" w:left="1800" w:header="720" w:footer="720" w:gutter="0"/>
      <w:lnNumType w:countBy="1" w:restart="continuous"/>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uthor" w:initials="AU" w:date="2026-10-01T02:05:08Z">
    <w:p>
      <w:pPr>
        <w:pStyle w:val="CommentText"/>
      </w:pPr>
      <w:r>
        <w:rPr>
          <w:rStyle w:val="CommentReference"/>
        </w:rPr>
        <w:annotationRef/>
      </w:r>
      <w:r>
        <w:t>Check the lag time against the raw data.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 response of a model bacterium to a synthetic carbon source</dc:title>
  <dc:subject/>
  <dc:creator>Spike Fixture</dc:creator>
  <cp:keywords/>
  <dc:description>generated by python-docx</dc:description>
  <cp:lastModifiedBy>Spike Fixture</cp:lastModifiedBy>
  <cp:revision>1</cp:revision>
  <dcterms:created xsi:type="dcterms:W3CDTF">2026-01-01T00:00:00Z</dcterms:created>
  <dcterms:modified xsi:type="dcterms:W3CDTF">2026-01-01T00:00:00Z</dcterms:modified>
  <cp:category/>
</cp:coreProperties>
</file>