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0"/>
        <w:gridCol w:w="3246"/>
      </w:tblGrid>
      <w:tr w:rsidR="00950075" w14:paraId="3F1EDD81" w14:textId="77777777">
        <w:tblPrEx>
          <w:tblCellMar>
            <w:top w:w="0" w:type="dxa"/>
            <w:bottom w:w="0" w:type="dxa"/>
          </w:tblCellMar>
        </w:tblPrEx>
        <w:tc>
          <w:tcPr>
            <w:tcW w:w="6700" w:type="dxa"/>
            <w:tcMar>
              <w:top w:w="220" w:type="dxa"/>
              <w:left w:w="0" w:type="dxa"/>
              <w:bottom w:w="220" w:type="dxa"/>
              <w:right w:w="120" w:type="dxa"/>
            </w:tcMar>
            <w:vAlign w:val="center"/>
          </w:tcPr>
          <w:p w14:paraId="06400022" w14:textId="77777777" w:rsidR="00950075" w:rsidRDefault="00000000">
            <w:r>
              <w:rPr>
                <w:noProof/>
              </w:rPr>
              <w:drawing>
                <wp:inline distT="0" distB="0" distL="0" distR="0" wp14:anchorId="31F44727" wp14:editId="035A725F">
                  <wp:extent cx="1676400" cy="476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6" w:type="dxa"/>
            <w:tcMar>
              <w:top w:w="220" w:type="dxa"/>
              <w:left w:w="120" w:type="dxa"/>
              <w:bottom w:w="220" w:type="dxa"/>
              <w:right w:w="0" w:type="dxa"/>
            </w:tcMar>
            <w:vAlign w:val="center"/>
          </w:tcPr>
          <w:p w14:paraId="6051D9D6" w14:textId="77777777" w:rsidR="00950075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FE259C3" wp14:editId="699A70F8">
                  <wp:extent cx="838200" cy="390525"/>
                  <wp:effectExtent l="0" t="0" r="0" b="0"/>
                  <wp:docPr id="1580136015" name="Picture 1580136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473E2" w14:textId="77777777" w:rsidR="00950075" w:rsidRDefault="00950075">
      <w:pPr>
        <w:pBdr>
          <w:bottom w:val="single" w:sz="10" w:space="1" w:color="D9B44A"/>
        </w:pBdr>
        <w:spacing w:after="260"/>
      </w:pPr>
    </w:p>
    <w:p w14:paraId="777E6CA8" w14:textId="77777777" w:rsidR="00950075" w:rsidRPr="004030EF" w:rsidRDefault="00000000">
      <w:pPr>
        <w:spacing w:after="40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Georgia" w:hAnsiTheme="minorHAnsi" w:cstheme="minorHAnsi"/>
          <w:b/>
          <w:bCs/>
          <w:color w:val="1C2B4A"/>
          <w:sz w:val="34"/>
          <w:szCs w:val="34"/>
          <w:lang w:val="es-ES"/>
        </w:rPr>
        <w:t>Propuesta de Plataforma SOFEIN</w:t>
      </w:r>
    </w:p>
    <w:p w14:paraId="481B54C7" w14:textId="28D7F1A3" w:rsidR="00950075" w:rsidRPr="004030EF" w:rsidRDefault="00000000">
      <w:pPr>
        <w:spacing w:after="60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i/>
          <w:iCs/>
          <w:color w:val="17A5B4"/>
          <w:lang w:val="es-ES"/>
        </w:rPr>
        <w:t>Resumen de propuesta</w:t>
      </w:r>
    </w:p>
    <w:p w14:paraId="5B9037EC" w14:textId="75E87F44" w:rsidR="00950075" w:rsidRPr="004030EF" w:rsidRDefault="00000000">
      <w:pPr>
        <w:spacing w:after="260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color w:val="767676"/>
          <w:sz w:val="18"/>
          <w:szCs w:val="18"/>
          <w:lang w:val="es-ES"/>
        </w:rPr>
        <w:t xml:space="preserve">Fecha: </w:t>
      </w:r>
      <w:r w:rsidR="004030EF">
        <w:rPr>
          <w:rFonts w:asciiTheme="minorHAnsi" w:eastAsia="Calibri" w:hAnsiTheme="minorHAnsi" w:cstheme="minorHAnsi"/>
          <w:color w:val="767676"/>
          <w:sz w:val="18"/>
          <w:szCs w:val="18"/>
          <w:lang w:val="es-ES"/>
        </w:rPr>
        <w:t xml:space="preserve">9 de </w:t>
      </w:r>
      <w:r w:rsidRPr="004030EF">
        <w:rPr>
          <w:rFonts w:asciiTheme="minorHAnsi" w:eastAsia="Calibri" w:hAnsiTheme="minorHAnsi" w:cstheme="minorHAnsi"/>
          <w:color w:val="767676"/>
          <w:sz w:val="18"/>
          <w:szCs w:val="18"/>
          <w:lang w:val="es-ES"/>
        </w:rPr>
        <w:t>Julio de 2026</w:t>
      </w:r>
    </w:p>
    <w:p w14:paraId="46BE4C93" w14:textId="77777777" w:rsidR="00950075" w:rsidRPr="004030EF" w:rsidRDefault="00000000">
      <w:pPr>
        <w:pBdr>
          <w:bottom w:val="single" w:sz="3" w:space="6" w:color="E4E4E4"/>
        </w:pBdr>
        <w:spacing w:before="320" w:after="140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hAnsiTheme="minorHAnsi" w:cstheme="minorHAnsi"/>
          <w:lang w:val="es-ES"/>
        </w:rPr>
        <w:t xml:space="preserve">  </w:t>
      </w:r>
      <w:r w:rsidRPr="004030EF">
        <w:rPr>
          <w:rFonts w:asciiTheme="minorHAnsi" w:eastAsia="Georgia" w:hAnsiTheme="minorHAnsi" w:cstheme="minorHAnsi"/>
          <w:b/>
          <w:bCs/>
          <w:color w:val="1C2B4A"/>
          <w:spacing w:val="18"/>
          <w:sz w:val="21"/>
          <w:szCs w:val="21"/>
          <w:lang w:val="es-ES"/>
        </w:rPr>
        <w:t>RESUMEN DE LA PROPUESTA</w:t>
      </w:r>
    </w:p>
    <w:p w14:paraId="0D8C7634" w14:textId="3CAB9106" w:rsidR="00950075" w:rsidRPr="004030EF" w:rsidRDefault="002737AD">
      <w:pPr>
        <w:spacing w:after="140" w:line="300" w:lineRule="auto"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Se d</w:t>
      </w:r>
      <w:r w:rsidR="00000000"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esarrollar</w:t>
      </w:r>
      <w:r w:rsidR="002C2020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á</w:t>
      </w:r>
      <w:r w:rsidR="00000000"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 xml:space="preserve"> una plataforma privada para SOFEIN orientada a centralizar la gestión de expedientes, documentación, proveedores y trazabilidad de operaciones. Cada operación tendrá un entorno único, ordenado y profesional, donde cliente, proveedor y equipo SOFEIN accederán únicamente a la información que les corresponde.</w:t>
      </w:r>
    </w:p>
    <w:p w14:paraId="609F515A" w14:textId="77777777" w:rsidR="00950075" w:rsidRPr="004030EF" w:rsidRDefault="00000000">
      <w:pPr>
        <w:spacing w:after="140" w:line="300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La plataforma será una herramienta operativa B2B, con una experiencia visual seria, premium y alineada con la identidad de SOFEIN. El objetivo es convertir la gestión documental y el seguimiento de operaciones en un proceso más claro, controlado y diferenciador.</w:t>
      </w:r>
    </w:p>
    <w:p w14:paraId="5B00C6D4" w14:textId="77777777" w:rsidR="00950075" w:rsidRPr="004030EF" w:rsidRDefault="00000000">
      <w:pPr>
        <w:pBdr>
          <w:bottom w:val="single" w:sz="3" w:space="6" w:color="E4E4E4"/>
        </w:pBdr>
        <w:spacing w:before="320" w:after="140"/>
        <w:rPr>
          <w:rFonts w:asciiTheme="minorHAnsi" w:hAnsiTheme="minorHAnsi" w:cstheme="minorHAnsi"/>
        </w:rPr>
      </w:pPr>
      <w:r w:rsidRPr="004030EF">
        <w:rPr>
          <w:rFonts w:asciiTheme="minorHAnsi" w:hAnsiTheme="minorHAnsi" w:cstheme="minorHAnsi"/>
          <w:lang w:val="es-ES"/>
        </w:rPr>
        <w:t xml:space="preserve">  </w:t>
      </w:r>
      <w:r w:rsidRPr="004030EF">
        <w:rPr>
          <w:rFonts w:asciiTheme="minorHAnsi" w:eastAsia="Georgia" w:hAnsiTheme="minorHAnsi" w:cstheme="minorHAnsi"/>
          <w:b/>
          <w:bCs/>
          <w:color w:val="1C2B4A"/>
          <w:spacing w:val="18"/>
          <w:sz w:val="21"/>
          <w:szCs w:val="21"/>
        </w:rPr>
        <w:t>OBJETIVOS</w:t>
      </w:r>
    </w:p>
    <w:p w14:paraId="47D8AAC0" w14:textId="77777777" w:rsidR="00950075" w:rsidRPr="004030EF" w:rsidRDefault="00000000">
      <w:pPr>
        <w:pStyle w:val="ListParagraph"/>
        <w:numPr>
          <w:ilvl w:val="0"/>
          <w:numId w:val="2"/>
        </w:numPr>
        <w:spacing w:after="100" w:line="280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Centralizar el control de cada operación en un expediente único.</w:t>
      </w:r>
    </w:p>
    <w:p w14:paraId="5E1B6BA1" w14:textId="77777777" w:rsidR="00950075" w:rsidRPr="004030EF" w:rsidRDefault="00000000">
      <w:pPr>
        <w:pStyle w:val="ListParagraph"/>
        <w:numPr>
          <w:ilvl w:val="0"/>
          <w:numId w:val="2"/>
        </w:numPr>
        <w:spacing w:after="100" w:line="280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Reducir seguimiento manual, correos repetitivos y pérdida de contexto.</w:t>
      </w:r>
    </w:p>
    <w:p w14:paraId="5CFCDE32" w14:textId="77777777" w:rsidR="00950075" w:rsidRPr="004030EF" w:rsidRDefault="00000000">
      <w:pPr>
        <w:pStyle w:val="ListParagraph"/>
        <w:numPr>
          <w:ilvl w:val="0"/>
          <w:numId w:val="2"/>
        </w:numPr>
        <w:spacing w:after="100" w:line="280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Mejorar la experiencia del cliente mediante trazabilidad clara y documentación ordenada.</w:t>
      </w:r>
    </w:p>
    <w:p w14:paraId="6BE514C7" w14:textId="77777777" w:rsidR="00950075" w:rsidRPr="004030EF" w:rsidRDefault="00000000">
      <w:pPr>
        <w:pStyle w:val="ListParagraph"/>
        <w:numPr>
          <w:ilvl w:val="0"/>
          <w:numId w:val="2"/>
        </w:numPr>
        <w:spacing w:after="100" w:line="280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Profesionalizar la relación con proveedores y la gestión documental.</w:t>
      </w:r>
    </w:p>
    <w:p w14:paraId="4E5B16B8" w14:textId="77777777" w:rsidR="00950075" w:rsidRPr="004030EF" w:rsidRDefault="00000000">
      <w:pPr>
        <w:pStyle w:val="ListParagraph"/>
        <w:numPr>
          <w:ilvl w:val="0"/>
          <w:numId w:val="2"/>
        </w:numPr>
        <w:spacing w:after="100" w:line="280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Dotar a SOFEIN de una herramienta escalable, mantenible y preparada para crecer.</w:t>
      </w:r>
    </w:p>
    <w:p w14:paraId="17837793" w14:textId="77777777" w:rsidR="00950075" w:rsidRPr="004030EF" w:rsidRDefault="00000000">
      <w:pPr>
        <w:pStyle w:val="ListParagraph"/>
        <w:numPr>
          <w:ilvl w:val="0"/>
          <w:numId w:val="2"/>
        </w:numPr>
        <w:spacing w:after="100" w:line="280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Convertir informes, trazabilidad y módulos premium en elementos de diferenciación comercial.</w:t>
      </w:r>
    </w:p>
    <w:p w14:paraId="298EF701" w14:textId="77777777" w:rsidR="00950075" w:rsidRPr="004030EF" w:rsidRDefault="00000000">
      <w:pPr>
        <w:pBdr>
          <w:bottom w:val="single" w:sz="3" w:space="6" w:color="E4E4E4"/>
        </w:pBdr>
        <w:spacing w:before="320" w:after="140"/>
        <w:rPr>
          <w:rFonts w:asciiTheme="minorHAnsi" w:hAnsiTheme="minorHAnsi" w:cstheme="minorHAnsi"/>
        </w:rPr>
      </w:pPr>
      <w:r w:rsidRPr="004030EF">
        <w:rPr>
          <w:rFonts w:asciiTheme="minorHAnsi" w:hAnsiTheme="minorHAnsi" w:cstheme="minorHAnsi"/>
          <w:lang w:val="es-ES"/>
        </w:rPr>
        <w:t xml:space="preserve">  </w:t>
      </w:r>
      <w:r w:rsidRPr="004030EF">
        <w:rPr>
          <w:rFonts w:asciiTheme="minorHAnsi" w:eastAsia="Georgia" w:hAnsiTheme="minorHAnsi" w:cstheme="minorHAnsi"/>
          <w:b/>
          <w:bCs/>
          <w:color w:val="1C2B4A"/>
          <w:spacing w:val="18"/>
          <w:sz w:val="21"/>
          <w:szCs w:val="21"/>
        </w:rPr>
        <w:t>PUNTOS CLAVE DE LA PLATAFORMA</w:t>
      </w:r>
    </w:p>
    <w:p w14:paraId="6CA6A878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Portal privado por roles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La plataforma contará con accesos diferenciados para cliente, proveedor y equipo SOFEIN. Cada rol tendrá una vista adaptada a sus responsabilidades, mostrando solo la información necesaria para actuar o consultar.</w:t>
      </w:r>
    </w:p>
    <w:p w14:paraId="5099EBE5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Expediente digital centralizado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Cada operación se gestionará desde un expediente único. En él se agruparán estado, fases, documentación, proveedor asociado, entregables e historial relevante.</w:t>
      </w:r>
    </w:p>
    <w:p w14:paraId="3BFB8409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Trazabilidad visual del proceso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El avance de cada expediente se mostrará mediante un flujo visual por fases. Esta vista permitirá entender rápidamente en qué punto se encuentra la operación, qué se ha completado y qué queda pendiente.</w:t>
      </w:r>
    </w:p>
    <w:tbl>
      <w:tblPr>
        <w:tblW w:w="714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0"/>
      </w:tblGrid>
      <w:tr w:rsidR="00950075" w:rsidRPr="004030EF" w14:paraId="5132BD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530ED" w14:textId="77777777" w:rsidR="00950075" w:rsidRPr="004030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030EF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64ECBFD8" wp14:editId="6988B4EE">
                  <wp:extent cx="4381500" cy="2162175"/>
                  <wp:effectExtent l="0" t="0" r="0" b="0"/>
                  <wp:docPr id="302715388" name="Picture 302715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C1D8A" w14:textId="77777777" w:rsidR="00950075" w:rsidRPr="004030EF" w:rsidRDefault="00000000">
      <w:pPr>
        <w:spacing w:before="90" w:after="260"/>
        <w:jc w:val="center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i/>
          <w:iCs/>
          <w:color w:val="767676"/>
          <w:sz w:val="15"/>
          <w:szCs w:val="15"/>
          <w:lang w:val="es-ES"/>
        </w:rPr>
        <w:t>Vista de ejemplo — trazabilidad por fases de un expediente</w:t>
      </w:r>
    </w:p>
    <w:p w14:paraId="3FF5E9B6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Gestión documental estructurada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Los documentos estarán vinculados al expediente y organizados por estado: pendiente, entregado, validado, rechazado o firmado. Esto aportará control, reducirá dispersión y facilitará el seguimiento interno.</w:t>
      </w:r>
    </w:p>
    <w:p w14:paraId="5813B5E5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Área de proveedor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Los proveedores tendrán un espacio propio para consultar solicitudes, aportar documentación y mantener información relevante sobre capacidades, certificaciones, zona de servicio y disponibilidad.</w:t>
      </w:r>
    </w:p>
    <w:p w14:paraId="0735F6AD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Panel de control para SOFEIN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El equipo gestor dispondrá de una visión global de expedientes, proveedores, documentos pendientes y operaciones en curso. Esta capa permitirá coordinar mejor el trabajo y detectar bloqueos con mayor rapidez.</w:t>
      </w:r>
    </w:p>
    <w:tbl>
      <w:tblPr>
        <w:tblW w:w="714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0"/>
      </w:tblGrid>
      <w:tr w:rsidR="00950075" w:rsidRPr="004030EF" w14:paraId="3B7383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1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44EE37" w14:textId="77777777" w:rsidR="00950075" w:rsidRPr="004030EF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030EF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C920B24" wp14:editId="49C24782">
                  <wp:extent cx="4381500" cy="2143125"/>
                  <wp:effectExtent l="0" t="0" r="0" b="0"/>
                  <wp:docPr id="676874277" name="Picture 676874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8D948C" w14:textId="77777777" w:rsidR="00950075" w:rsidRPr="004030EF" w:rsidRDefault="00000000">
      <w:pPr>
        <w:spacing w:before="90" w:after="260"/>
        <w:jc w:val="center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i/>
          <w:iCs/>
          <w:color w:val="767676"/>
          <w:sz w:val="15"/>
          <w:szCs w:val="15"/>
          <w:lang w:val="es-ES"/>
        </w:rPr>
        <w:t>Vista de ejemplo — panel de expedientes, portal de Administración</w:t>
      </w:r>
    </w:p>
    <w:p w14:paraId="2788AFA1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Informes y entregables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La plataforma incluirá informes asociados al expediente para ofrecer una lectura ejecutiva del estado de la operación y facilitar entregables documentales al cliente.</w:t>
      </w:r>
    </w:p>
    <w:p w14:paraId="41C67520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Mensajería y avisos automáticos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Se incorporará un sistema de mensajes automáticos para notificar cambios de estado, documentos pendientes, validaciones, rechazos o hitos relevantes. Esta funcionalidad reducirá seguimiento manual y mejorará los tiempos de respuesta.</w:t>
      </w:r>
    </w:p>
    <w:p w14:paraId="75882AF5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SOFEIN Insight+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Se añadirá una capa premium de valor añadido para informes avanzados, indicadores ejecutivos, sostenibilidad, auditoría documental y entregables diferenciales. Este módulo permitirá ampliar la propuesta comercial sin alterar la base principal de la plataforma.</w:t>
      </w:r>
    </w:p>
    <w:p w14:paraId="03E4ED26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lastRenderedPageBreak/>
        <w:t>Dominio personalizado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La plataforma se publicará bajo un dominio propio o subdominio corporativo de SOFEIN, reforzando la percepción de producto profesional y ofreciendo una experiencia más sólida al cliente.</w:t>
      </w:r>
    </w:p>
    <w:p w14:paraId="006A6CE7" w14:textId="77777777" w:rsidR="00950075" w:rsidRPr="004030EF" w:rsidRDefault="00000000">
      <w:pPr>
        <w:pBdr>
          <w:bottom w:val="single" w:sz="3" w:space="6" w:color="E4E4E4"/>
        </w:pBdr>
        <w:spacing w:before="320" w:after="140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hAnsiTheme="minorHAnsi" w:cstheme="minorHAnsi"/>
          <w:lang w:val="es-ES"/>
        </w:rPr>
        <w:t xml:space="preserve">  </w:t>
      </w:r>
      <w:r w:rsidRPr="004030EF">
        <w:rPr>
          <w:rFonts w:asciiTheme="minorHAnsi" w:eastAsia="Georgia" w:hAnsiTheme="minorHAnsi" w:cstheme="minorHAnsi"/>
          <w:b/>
          <w:bCs/>
          <w:color w:val="1C2B4A"/>
          <w:spacing w:val="18"/>
          <w:sz w:val="21"/>
          <w:szCs w:val="21"/>
          <w:lang w:val="es-ES"/>
        </w:rPr>
        <w:t>BACKEND, HERRAMIENTAS E INFRAESTRUCTURA</w:t>
      </w:r>
    </w:p>
    <w:p w14:paraId="0DE07FD6" w14:textId="77777777" w:rsidR="00950075" w:rsidRPr="004030EF" w:rsidRDefault="00000000">
      <w:pPr>
        <w:spacing w:after="140" w:line="300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El proyecto incluirá un backend real para soportar permisos, documentos, trazabilidad, automatizaciones y seguridad. La complejidad no estará solo en las pantallas, sino en crear una base técnica fiable para operar con usuarios, archivos, estados e historial.</w:t>
      </w:r>
    </w:p>
    <w:p w14:paraId="7894E4C5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Autenticación y permisos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login, roles y control de acceso por tipo de usuario.</w:t>
      </w:r>
    </w:p>
    <w:p w14:paraId="03194F78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Base de datos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estructura para usuarios, expedientes, proveedores, documentos, fases, estados e historial.</w:t>
      </w:r>
    </w:p>
    <w:p w14:paraId="7D0A6E0E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Almacenamiento documental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gestión segura de archivos, versiones y relación con cada expediente.</w:t>
      </w:r>
    </w:p>
    <w:p w14:paraId="142D0986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Historial y auditoría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registro de acciones relevantes sobre documentos, estados y validaciones.</w:t>
      </w:r>
    </w:p>
    <w:p w14:paraId="1ED31C98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Motor de notificaciones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envío automático de emails o mensajes cuando exista una acción pendiente o un cambio importante.</w:t>
      </w:r>
    </w:p>
    <w:p w14:paraId="23FCAE90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Generación de reportes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creación de informes descargables desde datos reales del expediente.</w:t>
      </w:r>
    </w:p>
    <w:p w14:paraId="2FC19EC2" w14:textId="77777777" w:rsidR="00950075" w:rsidRPr="004030EF" w:rsidRDefault="00000000">
      <w:pPr>
        <w:pStyle w:val="ListParagraph"/>
        <w:numPr>
          <w:ilvl w:val="0"/>
          <w:numId w:val="3"/>
        </w:numPr>
        <w:spacing w:after="190" w:line="296" w:lineRule="auto"/>
        <w:jc w:val="both"/>
        <w:rPr>
          <w:rFonts w:asciiTheme="minorHAnsi" w:hAnsiTheme="minorHAnsi" w:cstheme="minorHAnsi"/>
          <w:lang w:val="es-ES"/>
        </w:rPr>
      </w:pPr>
      <w:r w:rsidRPr="004030EF">
        <w:rPr>
          <w:rFonts w:asciiTheme="minorHAnsi" w:eastAsia="Calibri" w:hAnsiTheme="minorHAnsi" w:cstheme="minorHAnsi"/>
          <w:b/>
          <w:bCs/>
          <w:color w:val="1C2B4A"/>
          <w:sz w:val="21"/>
          <w:szCs w:val="21"/>
          <w:lang w:val="es-ES"/>
        </w:rPr>
        <w:t>Integraciones externas</w:t>
      </w:r>
      <w:r w:rsidRPr="004030EF">
        <w:rPr>
          <w:rFonts w:asciiTheme="minorHAnsi" w:eastAsia="Calibri" w:hAnsiTheme="minorHAnsi" w:cstheme="minorHAnsi"/>
          <w:color w:val="17A5B4"/>
          <w:sz w:val="21"/>
          <w:szCs w:val="21"/>
          <w:lang w:val="es-ES"/>
        </w:rPr>
        <w:t xml:space="preserve">  —  </w:t>
      </w:r>
      <w:r w:rsidRPr="004030EF">
        <w:rPr>
          <w:rFonts w:asciiTheme="minorHAnsi" w:eastAsia="Calibri" w:hAnsiTheme="minorHAnsi" w:cstheme="minorHAnsi"/>
          <w:color w:val="3A3A3A"/>
          <w:sz w:val="21"/>
          <w:szCs w:val="21"/>
          <w:lang w:val="es-ES"/>
        </w:rPr>
        <w:t>conexión con proveedores especializados para email, firma electrónica, almacenamiento o servicios corporativos cuando proceda.</w:t>
      </w:r>
    </w:p>
    <w:sectPr w:rsidR="00950075" w:rsidRPr="004030EF">
      <w:footerReference w:type="default" r:id="rId11"/>
      <w:pgSz w:w="11906" w:h="16838"/>
      <w:pgMar w:top="850" w:right="980" w:bottom="900" w:left="9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B06C8" w14:textId="77777777" w:rsidR="00303DDF" w:rsidRDefault="00303DDF">
      <w:r>
        <w:separator/>
      </w:r>
    </w:p>
  </w:endnote>
  <w:endnote w:type="continuationSeparator" w:id="0">
    <w:p w14:paraId="06D29280" w14:textId="77777777" w:rsidR="00303DDF" w:rsidRDefault="00303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21E1" w14:textId="77777777" w:rsidR="00950075" w:rsidRDefault="00950075">
    <w:pPr>
      <w:pBdr>
        <w:top w:val="single" w:sz="3" w:space="6" w:color="E4E4E4"/>
      </w:pBdr>
      <w:spacing w:before="100"/>
    </w:pPr>
  </w:p>
  <w:p w14:paraId="7BBC99D0" w14:textId="77777777" w:rsidR="00950075" w:rsidRPr="004030EF" w:rsidRDefault="00000000">
    <w:pPr>
      <w:jc w:val="center"/>
      <w:rPr>
        <w:lang w:val="es-ES"/>
      </w:rPr>
    </w:pPr>
    <w:r w:rsidRPr="004030EF">
      <w:rPr>
        <w:rFonts w:ascii="Calibri" w:eastAsia="Calibri" w:hAnsi="Calibri" w:cs="Calibri"/>
        <w:i/>
        <w:iCs/>
        <w:color w:val="767676"/>
        <w:sz w:val="15"/>
        <w:szCs w:val="15"/>
        <w:lang w:val="es-ES"/>
      </w:rPr>
      <w:t>SOFEIN  ·  Propuesta confidencial  ·  Ozone Drive S.L.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899ED" w14:textId="77777777" w:rsidR="00303DDF" w:rsidRDefault="00303DDF">
      <w:r>
        <w:separator/>
      </w:r>
    </w:p>
  </w:footnote>
  <w:footnote w:type="continuationSeparator" w:id="0">
    <w:p w14:paraId="07512C32" w14:textId="77777777" w:rsidR="00303DDF" w:rsidRDefault="00303D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5087E"/>
    <w:multiLevelType w:val="hybridMultilevel"/>
    <w:tmpl w:val="D1A05E40"/>
    <w:lvl w:ilvl="0" w:tplc="25E63CB6">
      <w:start w:val="1"/>
      <w:numFmt w:val="bullet"/>
      <w:lvlText w:val="▸"/>
      <w:lvlJc w:val="left"/>
      <w:pPr>
        <w:ind w:left="320" w:hanging="320"/>
      </w:pPr>
      <w:rPr>
        <w:rFonts w:ascii="Calibri" w:eastAsia="Calibri" w:hAnsi="Calibri" w:cs="Calibri"/>
        <w:b/>
        <w:bCs/>
        <w:color w:val="D9B44A"/>
        <w:sz w:val="16"/>
        <w:szCs w:val="16"/>
      </w:rPr>
    </w:lvl>
    <w:lvl w:ilvl="1" w:tplc="5B2CFC56">
      <w:numFmt w:val="decimal"/>
      <w:lvlText w:val=""/>
      <w:lvlJc w:val="left"/>
    </w:lvl>
    <w:lvl w:ilvl="2" w:tplc="36BC1280">
      <w:numFmt w:val="decimal"/>
      <w:lvlText w:val=""/>
      <w:lvlJc w:val="left"/>
    </w:lvl>
    <w:lvl w:ilvl="3" w:tplc="0FD48016">
      <w:numFmt w:val="decimal"/>
      <w:lvlText w:val=""/>
      <w:lvlJc w:val="left"/>
    </w:lvl>
    <w:lvl w:ilvl="4" w:tplc="35EACDC0">
      <w:numFmt w:val="decimal"/>
      <w:lvlText w:val=""/>
      <w:lvlJc w:val="left"/>
    </w:lvl>
    <w:lvl w:ilvl="5" w:tplc="DFCE992A">
      <w:numFmt w:val="decimal"/>
      <w:lvlText w:val=""/>
      <w:lvlJc w:val="left"/>
    </w:lvl>
    <w:lvl w:ilvl="6" w:tplc="85F80A7C">
      <w:numFmt w:val="decimal"/>
      <w:lvlText w:val=""/>
      <w:lvlJc w:val="left"/>
    </w:lvl>
    <w:lvl w:ilvl="7" w:tplc="8306E0F0">
      <w:numFmt w:val="decimal"/>
      <w:lvlText w:val=""/>
      <w:lvlJc w:val="left"/>
    </w:lvl>
    <w:lvl w:ilvl="8" w:tplc="174AC7F4">
      <w:numFmt w:val="decimal"/>
      <w:lvlText w:val=""/>
      <w:lvlJc w:val="left"/>
    </w:lvl>
  </w:abstractNum>
  <w:abstractNum w:abstractNumId="1" w15:restartNumberingAfterBreak="0">
    <w:nsid w:val="4E280738"/>
    <w:multiLevelType w:val="hybridMultilevel"/>
    <w:tmpl w:val="33AE2A16"/>
    <w:lvl w:ilvl="0" w:tplc="07D26D54">
      <w:start w:val="1"/>
      <w:numFmt w:val="bullet"/>
      <w:lvlText w:val="●"/>
      <w:lvlJc w:val="left"/>
      <w:pPr>
        <w:ind w:left="340" w:hanging="340"/>
      </w:pPr>
      <w:rPr>
        <w:rFonts w:ascii="Calibri" w:eastAsia="Calibri" w:hAnsi="Calibri" w:cs="Calibri"/>
        <w:color w:val="17A5B4"/>
        <w:sz w:val="12"/>
        <w:szCs w:val="12"/>
      </w:rPr>
    </w:lvl>
    <w:lvl w:ilvl="1" w:tplc="D23E3DE0">
      <w:numFmt w:val="decimal"/>
      <w:lvlText w:val=""/>
      <w:lvlJc w:val="left"/>
    </w:lvl>
    <w:lvl w:ilvl="2" w:tplc="492EFE82">
      <w:numFmt w:val="decimal"/>
      <w:lvlText w:val=""/>
      <w:lvlJc w:val="left"/>
    </w:lvl>
    <w:lvl w:ilvl="3" w:tplc="766CA082">
      <w:numFmt w:val="decimal"/>
      <w:lvlText w:val=""/>
      <w:lvlJc w:val="left"/>
    </w:lvl>
    <w:lvl w:ilvl="4" w:tplc="1660D75E">
      <w:numFmt w:val="decimal"/>
      <w:lvlText w:val=""/>
      <w:lvlJc w:val="left"/>
    </w:lvl>
    <w:lvl w:ilvl="5" w:tplc="D5EC526A">
      <w:numFmt w:val="decimal"/>
      <w:lvlText w:val=""/>
      <w:lvlJc w:val="left"/>
    </w:lvl>
    <w:lvl w:ilvl="6" w:tplc="03D67D0C">
      <w:numFmt w:val="decimal"/>
      <w:lvlText w:val=""/>
      <w:lvlJc w:val="left"/>
    </w:lvl>
    <w:lvl w:ilvl="7" w:tplc="CD4A2CBA">
      <w:numFmt w:val="decimal"/>
      <w:lvlText w:val=""/>
      <w:lvlJc w:val="left"/>
    </w:lvl>
    <w:lvl w:ilvl="8" w:tplc="232CB750">
      <w:numFmt w:val="decimal"/>
      <w:lvlText w:val=""/>
      <w:lvlJc w:val="left"/>
    </w:lvl>
  </w:abstractNum>
  <w:abstractNum w:abstractNumId="2" w15:restartNumberingAfterBreak="0">
    <w:nsid w:val="561B1890"/>
    <w:multiLevelType w:val="hybridMultilevel"/>
    <w:tmpl w:val="A3903498"/>
    <w:lvl w:ilvl="0" w:tplc="252C92CA">
      <w:start w:val="1"/>
      <w:numFmt w:val="bullet"/>
      <w:lvlText w:val="●"/>
      <w:lvlJc w:val="left"/>
      <w:pPr>
        <w:ind w:left="720" w:hanging="360"/>
      </w:pPr>
    </w:lvl>
    <w:lvl w:ilvl="1" w:tplc="D8C21AC6">
      <w:start w:val="1"/>
      <w:numFmt w:val="bullet"/>
      <w:lvlText w:val="○"/>
      <w:lvlJc w:val="left"/>
      <w:pPr>
        <w:ind w:left="1440" w:hanging="360"/>
      </w:pPr>
    </w:lvl>
    <w:lvl w:ilvl="2" w:tplc="8020A87C">
      <w:start w:val="1"/>
      <w:numFmt w:val="bullet"/>
      <w:lvlText w:val="■"/>
      <w:lvlJc w:val="left"/>
      <w:pPr>
        <w:ind w:left="2160" w:hanging="360"/>
      </w:pPr>
    </w:lvl>
    <w:lvl w:ilvl="3" w:tplc="310026B0">
      <w:start w:val="1"/>
      <w:numFmt w:val="bullet"/>
      <w:lvlText w:val="●"/>
      <w:lvlJc w:val="left"/>
      <w:pPr>
        <w:ind w:left="2880" w:hanging="360"/>
      </w:pPr>
    </w:lvl>
    <w:lvl w:ilvl="4" w:tplc="71E4A8CE">
      <w:start w:val="1"/>
      <w:numFmt w:val="bullet"/>
      <w:lvlText w:val="○"/>
      <w:lvlJc w:val="left"/>
      <w:pPr>
        <w:ind w:left="3600" w:hanging="360"/>
      </w:pPr>
    </w:lvl>
    <w:lvl w:ilvl="5" w:tplc="9794823E">
      <w:start w:val="1"/>
      <w:numFmt w:val="bullet"/>
      <w:lvlText w:val="■"/>
      <w:lvlJc w:val="left"/>
      <w:pPr>
        <w:ind w:left="4320" w:hanging="360"/>
      </w:pPr>
    </w:lvl>
    <w:lvl w:ilvl="6" w:tplc="EE3AC43A">
      <w:start w:val="1"/>
      <w:numFmt w:val="bullet"/>
      <w:lvlText w:val="●"/>
      <w:lvlJc w:val="left"/>
      <w:pPr>
        <w:ind w:left="5040" w:hanging="360"/>
      </w:pPr>
    </w:lvl>
    <w:lvl w:ilvl="7" w:tplc="6F36D9C4">
      <w:start w:val="1"/>
      <w:numFmt w:val="bullet"/>
      <w:lvlText w:val="●"/>
      <w:lvlJc w:val="left"/>
      <w:pPr>
        <w:ind w:left="5760" w:hanging="360"/>
      </w:pPr>
    </w:lvl>
    <w:lvl w:ilvl="8" w:tplc="CDDE55F8">
      <w:start w:val="1"/>
      <w:numFmt w:val="bullet"/>
      <w:lvlText w:val="●"/>
      <w:lvlJc w:val="left"/>
      <w:pPr>
        <w:ind w:left="6480" w:hanging="360"/>
      </w:pPr>
    </w:lvl>
  </w:abstractNum>
  <w:num w:numId="1" w16cid:durableId="703943714">
    <w:abstractNumId w:val="2"/>
    <w:lvlOverride w:ilvl="0">
      <w:startOverride w:val="1"/>
    </w:lvlOverride>
  </w:num>
  <w:num w:numId="2" w16cid:durableId="1414352418">
    <w:abstractNumId w:val="0"/>
    <w:lvlOverride w:ilvl="0">
      <w:startOverride w:val="1"/>
    </w:lvlOverride>
  </w:num>
  <w:num w:numId="3" w16cid:durableId="5431798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075"/>
    <w:rsid w:val="002737AD"/>
    <w:rsid w:val="002C2020"/>
    <w:rsid w:val="00303DDF"/>
    <w:rsid w:val="004030EF"/>
    <w:rsid w:val="00950075"/>
    <w:rsid w:val="00CF28BB"/>
    <w:rsid w:val="00CF65EE"/>
    <w:rsid w:val="00EA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72E0"/>
  <w15:docId w15:val="{1AEE4566-576E-47AD-B092-55AF4DB3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Miguel Correa García</cp:lastModifiedBy>
  <cp:revision>5</cp:revision>
  <dcterms:created xsi:type="dcterms:W3CDTF">2026-07-09T11:09:00Z</dcterms:created>
  <dcterms:modified xsi:type="dcterms:W3CDTF">2026-07-09T11:17:00Z</dcterms:modified>
</cp:coreProperties>
</file>