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</w:t>
      </w:r>
      <w:r w:rsidDel="00000000" w:rsidR="00000000" w:rsidRPr="00000000">
        <w:rPr>
          <w:rtl w:val="0"/>
        </w:rPr>
      </w:r>
    </w:p>
    <w:tbl>
      <w:tblPr>
        <w:tblStyle w:val="Table1"/>
        <w:tblW w:w="994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6700"/>
        <w:gridCol w:w="3246"/>
        <w:tblGridChange w:id="0">
          <w:tblGrid>
            <w:gridCol w:w="6700"/>
            <w:gridCol w:w="3246"/>
          </w:tblGrid>
        </w:tblGridChange>
      </w:tblGrid>
      <w:tr>
        <w:trPr>
          <w:cantSplit w:val="0"/>
          <w:tblHeader w:val="0"/>
        </w:trPr>
        <w:tc>
          <w:tcPr>
            <w:tcMar>
              <w:top w:w="220.0" w:type="dxa"/>
              <w:left w:w="0.0" w:type="dxa"/>
              <w:bottom w:w="2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/>
              <w:drawing>
                <wp:inline distB="0" distT="0" distL="0" distR="0">
                  <wp:extent cx="1676400" cy="476250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4762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0.0" w:type="dxa"/>
              <w:left w:w="120.0" w:type="dxa"/>
              <w:bottom w:w="2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jc w:val="right"/>
              <w:rPr/>
            </w:pPr>
            <w:r w:rsidDel="00000000" w:rsidR="00000000" w:rsidRPr="00000000">
              <w:rPr/>
              <w:drawing>
                <wp:inline distB="0" distT="0" distL="0" distR="0">
                  <wp:extent cx="838200" cy="390525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905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pBdr>
          <w:bottom w:color="d9b44a" w:space="1" w:sz="10" w:val="single"/>
        </w:pBdr>
        <w:spacing w:after="2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c2b4a"/>
          <w:sz w:val="34"/>
          <w:szCs w:val="34"/>
          <w:rtl w:val="0"/>
        </w:rPr>
        <w:t xml:space="preserve">Propuesta de Plataforma SOFEIN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17a5b4"/>
          <w:rtl w:val="0"/>
        </w:rPr>
        <w:t xml:space="preserve">Resumen de propuesta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767676"/>
          <w:sz w:val="18"/>
          <w:szCs w:val="18"/>
          <w:rtl w:val="0"/>
        </w:rPr>
        <w:t xml:space="preserve">Fecha: 9 de Julio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e4e4e4" w:space="6" w:sz="4" w:val="single"/>
        </w:pBdr>
        <w:spacing w:after="140" w:before="32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c2b4a"/>
          <w:sz w:val="21"/>
          <w:szCs w:val="21"/>
          <w:rtl w:val="0"/>
        </w:rPr>
        <w:t xml:space="preserve">RESUMEN DE LA PROPUESTA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40"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3a3a3a"/>
          <w:sz w:val="21"/>
          <w:szCs w:val="21"/>
          <w:rtl w:val="0"/>
        </w:rPr>
        <w:t xml:space="preserve">Se desarrollará una plataforma privada para SOFEIN orientada a centralizar la gestión de expedientes, documentación, proveedores y trazabilidad de operaciones. Cada operación tendrá un entorno único, ordenado y profesional, donde cliente, proveedor y equipo SOFEIN accederán únicamente a la información que les corresponde.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40"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3a3a3a"/>
          <w:sz w:val="21"/>
          <w:szCs w:val="21"/>
          <w:rtl w:val="0"/>
        </w:rPr>
        <w:t xml:space="preserve">La plataforma será una herramienta operativa B2B, con una experiencia visual seria, premium y alineada con la identidad de SOFEIN. El objetivo es convertir la gestión documental y el seguimiento de operaciones en un proceso más claro, controlado y diferenciador.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e4e4e4" w:space="6" w:sz="4" w:val="single"/>
        </w:pBdr>
        <w:spacing w:after="140" w:before="32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c2b4a"/>
          <w:sz w:val="21"/>
          <w:szCs w:val="21"/>
          <w:rtl w:val="0"/>
        </w:rPr>
        <w:t xml:space="preserve">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80" w:lineRule="auto"/>
        <w:ind w:left="320" w:right="0" w:hanging="320"/>
        <w:jc w:val="both"/>
        <w:rPr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Centralizar el control de cada operación en un expediente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80" w:lineRule="auto"/>
        <w:ind w:left="320" w:right="0" w:hanging="320"/>
        <w:jc w:val="both"/>
        <w:rPr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Reducir seguimiento manual, correos repetitivos y pérdida de contexto.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80" w:lineRule="auto"/>
        <w:ind w:left="320" w:right="0" w:hanging="320"/>
        <w:jc w:val="both"/>
        <w:rPr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Mejorar la experiencia del cliente mediante trazabilidad clara y documentación ordenada.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80" w:lineRule="auto"/>
        <w:ind w:left="320" w:right="0" w:hanging="320"/>
        <w:jc w:val="both"/>
        <w:rPr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Profesionalizar la relación con proveedores y la gestión documental.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80" w:lineRule="auto"/>
        <w:ind w:left="320" w:right="0" w:hanging="320"/>
        <w:jc w:val="both"/>
        <w:rPr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Dotar a SOFEIN de una herramienta escalable, mantenible y preparada para crecer.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80" w:lineRule="auto"/>
        <w:ind w:left="320" w:right="0" w:hanging="320"/>
        <w:jc w:val="both"/>
        <w:rPr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Convertir informes, trazabilidad y módulos premium en elementos de diferenciación comercial.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e4e4e4" w:space="6" w:sz="4" w:val="single"/>
        </w:pBdr>
        <w:spacing w:after="140" w:before="32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c2b4a"/>
          <w:sz w:val="21"/>
          <w:szCs w:val="21"/>
          <w:rtl w:val="0"/>
        </w:rPr>
        <w:t xml:space="preserve">PUNTOS CLAVE DE LA PLATAFORMA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Portal privado por roles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La plataforma contará con accesos diferenciados para cliente, proveedor y equipo SOFEIN. Cada rol tendrá una vista adaptada a sus responsabilidades, mostrando solo la información necesaria para actuar o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Expediente digital centralizado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Cada operación se gestionará desde un expediente único. En él se agruparán estado, fases, documentación, proveedor asociado, entregables e historial relevante.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Trazabilidad visual del proceso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El avance de cada expediente se mostrará mediante un flujo visual por fases. Esta vista permitirá entender rápidamente en qué punto se encuentra la operación, qué se ha completado y qué queda pendiente.</w:t>
      </w:r>
      <w:r w:rsidDel="00000000" w:rsidR="00000000" w:rsidRPr="00000000">
        <w:rPr>
          <w:rtl w:val="0"/>
        </w:rPr>
      </w:r>
    </w:p>
    <w:tbl>
      <w:tblPr>
        <w:tblStyle w:val="Table2"/>
        <w:tblW w:w="714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7140"/>
        <w:tblGridChange w:id="0">
          <w:tblGrid>
            <w:gridCol w:w="7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</w:rPr>
              <w:drawing>
                <wp:inline distB="0" distT="0" distL="0" distR="0">
                  <wp:extent cx="4381500" cy="2162175"/>
                  <wp:effectExtent b="0" l="0" r="0" t="0"/>
                  <wp:docPr id="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1621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260" w:before="9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767676"/>
          <w:sz w:val="15"/>
          <w:szCs w:val="15"/>
          <w:rtl w:val="0"/>
        </w:rPr>
        <w:t xml:space="preserve">Vista de ejemplo — trazabilidad por fases de un expediente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Gestión documental estructurada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Los documentos estarán vinculados al expediente y organizados por estado: pendiente, entregado, validado, rechazado o firmado. Esto aportará control, reducirá dispersión y facilitará el seguimiento interno.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Área de proveedor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Los proveedores tendrán un espacio propio para consultar solicitudes, aportar documentación y mantener información relevante sobre capacidades, certificaciones, zona de servicio y disponibilidad.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Panel de control para SOFEIN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El equipo gestor dispondrá de una visión global de expedientes, proveedores, documentos pendientes y operaciones en curso. Esta capa permitirá coordinar mejor el trabajo y detectar bloqueos con mayor rapidez.</w:t>
      </w:r>
      <w:r w:rsidDel="00000000" w:rsidR="00000000" w:rsidRPr="00000000">
        <w:rPr>
          <w:rtl w:val="0"/>
        </w:rPr>
      </w:r>
    </w:p>
    <w:tbl>
      <w:tblPr>
        <w:tblStyle w:val="Table3"/>
        <w:tblW w:w="714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7140"/>
        <w:tblGridChange w:id="0">
          <w:tblGrid>
            <w:gridCol w:w="7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</w:rPr>
              <w:drawing>
                <wp:inline distB="0" distT="0" distL="0" distR="0">
                  <wp:extent cx="4381500" cy="2143125"/>
                  <wp:effectExtent b="0" l="0" r="0" t="0"/>
                  <wp:docPr id="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1431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260" w:before="9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767676"/>
          <w:sz w:val="15"/>
          <w:szCs w:val="15"/>
          <w:rtl w:val="0"/>
        </w:rPr>
        <w:t xml:space="preserve">Vista de ejemplo — panel de expedientes, portal de Administración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Informes y entregables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La plataforma incluirá informes asociados al expediente para ofrecer una lectura ejecutiva del estado de la operación y facilitar entregables documentales al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Mensajería y avisos automáticos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Se incorporará un sistema de mensajes automáticos para notificar cambios de estado, documentos pendientes, validaciones, rechazos o hitos relevantes. Esta funcionalidad reducirá seguimiento manual y mejorará los tiempos de respuesta.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SOFEIN Insight+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Se añadirá una capa premium de valor añadido para informes avanzados, indicadores ejecutivos, sostenibilidad, auditoría documental y entregables diferenciales. Este módulo permitirá ampliar la propuesta comercial sin alterar la base principal de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Dominio personalizado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La plataforma se publicará bajo un dominio propio o subdominio corporativo de SOFEIN, reforzando la percepción de producto profesional y ofreciendo una experiencia más sólida al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e4e4" w:space="6" w:sz="4" w:val="single"/>
        </w:pBdr>
        <w:spacing w:after="140" w:before="32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c2b4a"/>
          <w:sz w:val="21"/>
          <w:szCs w:val="21"/>
          <w:rtl w:val="0"/>
        </w:rPr>
        <w:t xml:space="preserve">BACKEND, HERRAMIENTAS E INFRAESTRUCTURA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40"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3a3a3a"/>
          <w:sz w:val="21"/>
          <w:szCs w:val="21"/>
          <w:rtl w:val="0"/>
        </w:rPr>
        <w:t xml:space="preserve">El proyecto incluirá un backend real para soportar permisos, documentos, trazabilidad, automatizaciones y seguridad. La complejidad no estará solo en las pantallas, sino en crear una base técnica fiable para operar con usuarios, archivos, estados e historial.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Autenticación y permisos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login, roles y control de acceso por tipo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Base de datos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estructura para usuarios, expedientes, proveedores, documentos, fases, estados e historial.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Almacenamiento documental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gestión segura de archivos, versiones y relación con cada expediente.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Historial y auditoría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registro de acciones relevantes sobre documentos, estados y validaciones.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Motor de notificaciones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envío automático de emails o mensajes cuando exista una acción pendiente o un cambio importante.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Generación de reportes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creación de informes descargables desde datos reales del expediente.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90" w:before="0" w:line="296" w:lineRule="auto"/>
        <w:ind w:left="340" w:right="0" w:hanging="340"/>
        <w:jc w:val="both"/>
        <w:rPr>
          <w:b w:val="0"/>
          <w:bCs w:val="0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c2b4a"/>
          <w:sz w:val="21"/>
          <w:szCs w:val="21"/>
          <w:u w:val="none"/>
          <w:shd w:fill="auto" w:val="clear"/>
          <w:vertAlign w:val="baseline"/>
          <w:rtl w:val="0"/>
        </w:rPr>
        <w:t xml:space="preserve">Integraciones externas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a5b4"/>
          <w:sz w:val="21"/>
          <w:szCs w:val="21"/>
          <w:u w:val="none"/>
          <w:shd w:fill="auto" w:val="clear"/>
          <w:vertAlign w:val="baseline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a3a3a"/>
          <w:sz w:val="21"/>
          <w:szCs w:val="21"/>
          <w:u w:val="none"/>
          <w:shd w:fill="auto" w:val="clear"/>
          <w:vertAlign w:val="baseline"/>
          <w:rtl w:val="0"/>
        </w:rPr>
        <w:t xml:space="preserve">conexión con proveedores especializados para email, firma electrónica, almacenamiento o servicios corporativos cuando proceda.</w:t>
      </w:r>
      <w:r w:rsidDel="00000000" w:rsidR="00000000" w:rsidRPr="00000000">
        <w:rPr>
          <w:rtl w:val="0"/>
        </w:rPr>
      </w:r>
    </w:p>
    <w:sectPr>
      <w:footerReference r:id="rId11" w:type="default"/>
      <w:pgSz w:h="16838" w:w="11906" w:orient="portrait"/>
      <w:pgMar w:bottom="900" w:top="850" w:left="980" w:right="9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Bdr>
        <w:top w:color="e4e4e4" w:space="6" w:sz="4" w:val="single"/>
      </w:pBdr>
      <w:spacing w:before="100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jc w:val="center"/>
      <w:rPr/>
    </w:pPr>
    <w:r w:rsidDel="00000000" w:rsidR="00000000" w:rsidRPr="00000000">
      <w:rPr>
        <w:rFonts w:ascii="Calibri" w:cs="Calibri" w:eastAsia="Calibri" w:hAnsi="Calibri"/>
        <w:i w:val="1"/>
        <w:iCs w:val="1"/>
        <w:color w:val="767676"/>
        <w:sz w:val="15"/>
        <w:szCs w:val="15"/>
        <w:rtl w:val="0"/>
      </w:rPr>
      <w:t xml:space="preserve">SOFEIN  ·  Propuesta confidencial  ·  Ozone Drive S.L.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▸"/>
      <w:lvlJc w:val="left"/>
      <w:pPr>
        <w:ind w:left="320" w:hanging="320"/>
      </w:pPr>
      <w:rPr>
        <w:rFonts w:ascii="Calibri" w:cs="Calibri" w:eastAsia="Calibri" w:hAnsi="Calibri"/>
        <w:b w:val="1"/>
        <w:bCs w:val="1"/>
        <w:color w:val="d9b44a"/>
        <w:sz w:val="16"/>
        <w:szCs w:val="16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340" w:hanging="340"/>
      </w:pPr>
      <w:rPr>
        <w:rFonts w:ascii="Calibri" w:cs="Calibri" w:eastAsia="Calibri" w:hAnsi="Calibri"/>
        <w:color w:val="17a5b4"/>
        <w:sz w:val="12"/>
        <w:szCs w:val="12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s4yNeYm11vGpWkcjABKu6gF4Xg==">CgMxLjA4AHIhMVZPYi1IQjdCWDEzT0NPbHZKYm0yVUw3NzFXZGxnNWNy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