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788"/>
        <w:gridCol w:w="4788"/>
      </w:tblGrid>
      <w:tr w:rsidR="00453747" w:rsidRPr="00453747" w:rsidTr="00453747">
        <w:tc>
          <w:tcPr>
            <w:tcW w:w="4788" w:type="dxa"/>
          </w:tcPr>
          <w:p w:rsidR="00453747" w:rsidRPr="00453747" w:rsidRDefault="00453747" w:rsidP="00453747">
            <w:pPr>
              <w:jc w:val="center"/>
              <w:rPr>
                <w:rFonts w:ascii="Times New Roman" w:hAnsi="Times New Roman" w:cs="Times New Roman"/>
                <w:b/>
                <w:sz w:val="28"/>
                <w:szCs w:val="28"/>
                <w:lang w:val="en-GB"/>
              </w:rPr>
            </w:pPr>
            <w:r>
              <w:rPr>
                <w:rFonts w:ascii="Times New Roman" w:hAnsi="Times New Roman" w:cs="Times New Roman"/>
                <w:b/>
                <w:sz w:val="28"/>
                <w:szCs w:val="28"/>
                <w:lang w:val="en-GB"/>
              </w:rPr>
              <w:t>ENGLISH</w:t>
            </w:r>
          </w:p>
        </w:tc>
        <w:tc>
          <w:tcPr>
            <w:tcW w:w="4788" w:type="dxa"/>
          </w:tcPr>
          <w:p w:rsidR="00453747" w:rsidRPr="00453747" w:rsidRDefault="00453747" w:rsidP="00453747">
            <w:pPr>
              <w:jc w:val="center"/>
              <w:rPr>
                <w:rFonts w:ascii="Times New Roman" w:hAnsi="Times New Roman" w:cs="Times New Roman"/>
                <w:b/>
                <w:sz w:val="28"/>
                <w:szCs w:val="28"/>
                <w:lang w:val="en-GB"/>
              </w:rPr>
            </w:pPr>
            <w:r>
              <w:rPr>
                <w:rFonts w:ascii="Times New Roman" w:hAnsi="Times New Roman" w:cs="Times New Roman"/>
                <w:b/>
                <w:sz w:val="28"/>
                <w:szCs w:val="28"/>
                <w:lang w:val="en-GB"/>
              </w:rPr>
              <w:t>TRANSLATION</w:t>
            </w:r>
          </w:p>
        </w:tc>
      </w:tr>
      <w:tr w:rsidR="00453747" w:rsidRPr="00453747" w:rsidTr="00453747">
        <w:tc>
          <w:tcPr>
            <w:tcW w:w="4788" w:type="dxa"/>
          </w:tcPr>
          <w:p w:rsidR="00453747" w:rsidRPr="00453747" w:rsidRDefault="00453747" w:rsidP="00F54961">
            <w:pPr>
              <w:rPr>
                <w:rFonts w:ascii="Times New Roman" w:hAnsi="Times New Roman" w:cs="Times New Roman"/>
                <w:sz w:val="28"/>
                <w:szCs w:val="28"/>
                <w:lang w:val="en-GB"/>
              </w:rPr>
            </w:pPr>
            <w:r w:rsidRPr="00453747">
              <w:rPr>
                <w:rFonts w:ascii="Times New Roman" w:hAnsi="Times New Roman" w:cs="Times New Roman"/>
                <w:b/>
                <w:sz w:val="28"/>
                <w:szCs w:val="28"/>
                <w:lang w:val="en-GB"/>
              </w:rPr>
              <w:t>Headline</w:t>
            </w:r>
            <w:r w:rsidRPr="00453747">
              <w:rPr>
                <w:rFonts w:ascii="Times New Roman" w:hAnsi="Times New Roman" w:cs="Times New Roman"/>
                <w:sz w:val="28"/>
                <w:szCs w:val="28"/>
                <w:lang w:val="en-GB"/>
              </w:rPr>
              <w:t xml:space="preserve">: </w:t>
            </w:r>
            <w:r w:rsidR="005E5A95" w:rsidRPr="005E5A95">
              <w:rPr>
                <w:rFonts w:ascii="Times New Roman" w:hAnsi="Times New Roman" w:cs="Times New Roman"/>
                <w:sz w:val="28"/>
                <w:szCs w:val="28"/>
                <w:lang w:val="en-GB"/>
              </w:rPr>
              <w:t>Dollar bulls waiting</w:t>
            </w:r>
          </w:p>
        </w:tc>
        <w:tc>
          <w:tcPr>
            <w:tcW w:w="4788" w:type="dxa"/>
          </w:tcPr>
          <w:p w:rsidR="00453747" w:rsidRPr="00453747" w:rsidRDefault="00453747" w:rsidP="00F54961">
            <w:pPr>
              <w:rPr>
                <w:rFonts w:ascii="Times New Roman" w:hAnsi="Times New Roman" w:cs="Times New Roman"/>
                <w:b/>
                <w:sz w:val="28"/>
                <w:szCs w:val="28"/>
                <w:lang w:val="en-GB"/>
              </w:rPr>
            </w:pPr>
          </w:p>
        </w:tc>
      </w:tr>
      <w:tr w:rsidR="00453747" w:rsidRPr="00453747" w:rsidTr="00453747">
        <w:tc>
          <w:tcPr>
            <w:tcW w:w="4788" w:type="dxa"/>
          </w:tcPr>
          <w:p w:rsidR="00453747" w:rsidRPr="00453747" w:rsidRDefault="00453747" w:rsidP="00F54961">
            <w:pPr>
              <w:rPr>
                <w:rFonts w:ascii="Times New Roman" w:hAnsi="Times New Roman" w:cs="Times New Roman"/>
                <w:sz w:val="28"/>
                <w:szCs w:val="28"/>
                <w:lang w:val="en-GB"/>
              </w:rPr>
            </w:pPr>
            <w:r w:rsidRPr="00453747">
              <w:rPr>
                <w:rFonts w:ascii="Times New Roman" w:hAnsi="Times New Roman" w:cs="Times New Roman"/>
                <w:b/>
                <w:sz w:val="28"/>
                <w:szCs w:val="28"/>
                <w:lang w:val="en-GB"/>
              </w:rPr>
              <w:t>Author</w:t>
            </w:r>
            <w:r w:rsidRPr="00453747">
              <w:rPr>
                <w:rFonts w:ascii="Times New Roman" w:hAnsi="Times New Roman" w:cs="Times New Roman"/>
                <w:sz w:val="28"/>
                <w:szCs w:val="28"/>
                <w:lang w:val="en-GB"/>
              </w:rPr>
              <w:t>: John J. Hardy</w:t>
            </w:r>
          </w:p>
        </w:tc>
        <w:tc>
          <w:tcPr>
            <w:tcW w:w="4788" w:type="dxa"/>
          </w:tcPr>
          <w:p w:rsidR="00453747" w:rsidRPr="00453747" w:rsidRDefault="00453747" w:rsidP="00F54961">
            <w:pPr>
              <w:rPr>
                <w:rFonts w:ascii="Times New Roman" w:hAnsi="Times New Roman" w:cs="Times New Roman"/>
                <w:b/>
                <w:sz w:val="28"/>
                <w:szCs w:val="28"/>
                <w:lang w:val="en-GB"/>
              </w:rPr>
            </w:pPr>
          </w:p>
        </w:tc>
      </w:tr>
      <w:tr w:rsidR="00453747" w:rsidRPr="00453747" w:rsidTr="00453747">
        <w:tc>
          <w:tcPr>
            <w:tcW w:w="4788" w:type="dxa"/>
          </w:tcPr>
          <w:p w:rsidR="00453747" w:rsidRPr="00453747" w:rsidRDefault="00453747" w:rsidP="00210086">
            <w:pPr>
              <w:rPr>
                <w:rFonts w:ascii="Times New Roman" w:hAnsi="Times New Roman" w:cs="Times New Roman"/>
                <w:sz w:val="28"/>
                <w:szCs w:val="28"/>
                <w:lang w:val="en-GB"/>
              </w:rPr>
            </w:pPr>
            <w:r w:rsidRPr="00453747">
              <w:rPr>
                <w:rFonts w:ascii="Times New Roman" w:hAnsi="Times New Roman" w:cs="Times New Roman"/>
                <w:b/>
                <w:sz w:val="28"/>
                <w:szCs w:val="28"/>
                <w:lang w:val="en-GB"/>
              </w:rPr>
              <w:t>Intro</w:t>
            </w:r>
            <w:r w:rsidRPr="00453747">
              <w:rPr>
                <w:rFonts w:ascii="Times New Roman" w:hAnsi="Times New Roman" w:cs="Times New Roman"/>
                <w:sz w:val="28"/>
                <w:szCs w:val="28"/>
                <w:lang w:val="en-GB"/>
              </w:rPr>
              <w:t xml:space="preserve">: September’s </w:t>
            </w:r>
            <w:r w:rsidR="00210086">
              <w:rPr>
                <w:rFonts w:ascii="Times New Roman" w:hAnsi="Times New Roman" w:cs="Times New Roman"/>
                <w:sz w:val="28"/>
                <w:szCs w:val="28"/>
                <w:lang w:val="en-GB"/>
              </w:rPr>
              <w:t xml:space="preserve">FOMC policy statement saw the Fed recognising that its monetary </w:t>
            </w:r>
            <w:r w:rsidRPr="00453747">
              <w:rPr>
                <w:rFonts w:ascii="Times New Roman" w:hAnsi="Times New Roman" w:cs="Times New Roman"/>
                <w:sz w:val="28"/>
                <w:szCs w:val="28"/>
                <w:lang w:val="en-GB"/>
              </w:rPr>
              <w:t xml:space="preserve">policy is global policy, and particularly so for emerging markets. For Q4, </w:t>
            </w:r>
            <w:r w:rsidR="00210086">
              <w:rPr>
                <w:rFonts w:ascii="Times New Roman" w:hAnsi="Times New Roman" w:cs="Times New Roman"/>
                <w:sz w:val="28"/>
                <w:szCs w:val="28"/>
                <w:lang w:val="en-GB"/>
              </w:rPr>
              <w:t>we look for a thaw in some emerging market currencies, taking a</w:t>
            </w:r>
            <w:r w:rsidRPr="00453747">
              <w:rPr>
                <w:rFonts w:ascii="Times New Roman" w:hAnsi="Times New Roman" w:cs="Times New Roman"/>
                <w:sz w:val="28"/>
                <w:szCs w:val="28"/>
                <w:lang w:val="en-GB"/>
              </w:rPr>
              <w:t xml:space="preserve"> conservative approach </w:t>
            </w:r>
            <w:r w:rsidR="00210086">
              <w:rPr>
                <w:rFonts w:ascii="Times New Roman" w:hAnsi="Times New Roman" w:cs="Times New Roman"/>
                <w:sz w:val="28"/>
                <w:szCs w:val="28"/>
                <w:lang w:val="en-GB"/>
              </w:rPr>
              <w:t xml:space="preserve">and finding value in </w:t>
            </w:r>
            <w:r w:rsidRPr="00453747">
              <w:rPr>
                <w:rFonts w:ascii="Times New Roman" w:hAnsi="Times New Roman" w:cs="Times New Roman"/>
                <w:sz w:val="28"/>
                <w:szCs w:val="28"/>
                <w:lang w:val="en-GB"/>
              </w:rPr>
              <w:t>Mexico.</w:t>
            </w:r>
          </w:p>
        </w:tc>
        <w:tc>
          <w:tcPr>
            <w:tcW w:w="4788" w:type="dxa"/>
          </w:tcPr>
          <w:p w:rsidR="00453747" w:rsidRPr="00453747" w:rsidRDefault="00453747" w:rsidP="00F54961">
            <w:pPr>
              <w:rPr>
                <w:rFonts w:ascii="Times New Roman" w:hAnsi="Times New Roman" w:cs="Times New Roman"/>
                <w:b/>
                <w:sz w:val="28"/>
                <w:szCs w:val="28"/>
                <w:lang w:val="en-GB"/>
              </w:rPr>
            </w:pPr>
          </w:p>
        </w:tc>
      </w:tr>
      <w:tr w:rsidR="00453747" w:rsidRPr="00453747" w:rsidTr="00453747">
        <w:tc>
          <w:tcPr>
            <w:tcW w:w="4788" w:type="dxa"/>
          </w:tcPr>
          <w:p w:rsidR="00453747" w:rsidRPr="00453747" w:rsidRDefault="00453747" w:rsidP="00F54961">
            <w:pPr>
              <w:rPr>
                <w:rFonts w:ascii="Times New Roman" w:hAnsi="Times New Roman" w:cs="Times New Roman"/>
                <w:sz w:val="28"/>
                <w:szCs w:val="28"/>
                <w:lang w:val="en-GB"/>
              </w:rPr>
            </w:pPr>
            <w:r w:rsidRPr="00453747">
              <w:rPr>
                <w:rFonts w:ascii="Times New Roman" w:hAnsi="Times New Roman" w:cs="Times New Roman"/>
                <w:b/>
                <w:sz w:val="28"/>
                <w:szCs w:val="28"/>
                <w:lang w:val="en-GB"/>
              </w:rPr>
              <w:t>Pull Quote:</w:t>
            </w:r>
            <w:r w:rsidRPr="00453747">
              <w:rPr>
                <w:rFonts w:ascii="Times New Roman" w:hAnsi="Times New Roman" w:cs="Times New Roman"/>
                <w:sz w:val="28"/>
                <w:szCs w:val="28"/>
                <w:lang w:val="en-GB"/>
              </w:rPr>
              <w:t xml:space="preserve"> “We will shine the spotlight on the Mexican peso and Polish zloty as our choices for a comeback in Q4.”</w:t>
            </w:r>
          </w:p>
        </w:tc>
        <w:tc>
          <w:tcPr>
            <w:tcW w:w="4788" w:type="dxa"/>
          </w:tcPr>
          <w:p w:rsidR="00453747" w:rsidRPr="00453747" w:rsidRDefault="00453747" w:rsidP="00F54961">
            <w:pPr>
              <w:rPr>
                <w:rFonts w:ascii="Times New Roman" w:hAnsi="Times New Roman" w:cs="Times New Roman"/>
                <w:b/>
                <w:sz w:val="28"/>
                <w:szCs w:val="28"/>
                <w:lang w:val="en-GB"/>
              </w:rPr>
            </w:pPr>
          </w:p>
        </w:tc>
      </w:tr>
      <w:tr w:rsidR="00453747" w:rsidRPr="00453747" w:rsidTr="00453747">
        <w:tc>
          <w:tcPr>
            <w:tcW w:w="4788" w:type="dxa"/>
          </w:tcPr>
          <w:p w:rsidR="00453747" w:rsidRPr="00453747" w:rsidRDefault="00453747" w:rsidP="00F54961">
            <w:pPr>
              <w:rPr>
                <w:rFonts w:ascii="Times New Roman" w:hAnsi="Times New Roman" w:cs="Times New Roman"/>
                <w:sz w:val="28"/>
                <w:szCs w:val="28"/>
                <w:lang w:val="en-GB"/>
              </w:rPr>
            </w:pPr>
            <w:r w:rsidRPr="00453747">
              <w:rPr>
                <w:rFonts w:ascii="Times New Roman" w:hAnsi="Times New Roman" w:cs="Times New Roman"/>
                <w:sz w:val="28"/>
                <w:szCs w:val="28"/>
                <w:lang w:val="en-GB"/>
              </w:rPr>
              <w:t xml:space="preserve">The extremely dovish September Federal Open Market Committee meeting saw chair Janet </w:t>
            </w:r>
            <w:proofErr w:type="spellStart"/>
            <w:r w:rsidRPr="00453747">
              <w:rPr>
                <w:rFonts w:ascii="Times New Roman" w:hAnsi="Times New Roman" w:cs="Times New Roman"/>
                <w:sz w:val="28"/>
                <w:szCs w:val="28"/>
                <w:lang w:val="en-GB"/>
              </w:rPr>
              <w:t>Yellen’s</w:t>
            </w:r>
            <w:proofErr w:type="spellEnd"/>
            <w:r w:rsidRPr="00453747">
              <w:rPr>
                <w:rFonts w:ascii="Times New Roman" w:hAnsi="Times New Roman" w:cs="Times New Roman"/>
                <w:sz w:val="28"/>
                <w:szCs w:val="28"/>
                <w:lang w:val="en-GB"/>
              </w:rPr>
              <w:t xml:space="preserve"> Federal Reserve acceding that Fed policy is global – and particularly emerging market – monetary policy, not just US monetary policy. </w:t>
            </w:r>
          </w:p>
        </w:tc>
        <w:tc>
          <w:tcPr>
            <w:tcW w:w="4788" w:type="dxa"/>
          </w:tcPr>
          <w:p w:rsidR="00453747" w:rsidRPr="00453747" w:rsidRDefault="00453747" w:rsidP="00F54961">
            <w:pPr>
              <w:rPr>
                <w:rFonts w:ascii="Times New Roman" w:hAnsi="Times New Roman" w:cs="Times New Roman"/>
                <w:sz w:val="28"/>
                <w:szCs w:val="28"/>
                <w:lang w:val="en-GB"/>
              </w:rPr>
            </w:pPr>
          </w:p>
        </w:tc>
      </w:tr>
      <w:tr w:rsidR="00453747" w:rsidRPr="00453747" w:rsidTr="00453747">
        <w:tc>
          <w:tcPr>
            <w:tcW w:w="4788" w:type="dxa"/>
          </w:tcPr>
          <w:p w:rsidR="00453747" w:rsidRPr="00453747" w:rsidRDefault="00453747" w:rsidP="00210086">
            <w:pPr>
              <w:rPr>
                <w:rFonts w:ascii="Times New Roman" w:hAnsi="Times New Roman" w:cs="Times New Roman"/>
                <w:sz w:val="28"/>
                <w:szCs w:val="28"/>
                <w:lang w:val="en-GB"/>
              </w:rPr>
            </w:pPr>
            <w:r w:rsidRPr="00453747">
              <w:rPr>
                <w:rFonts w:ascii="Times New Roman" w:hAnsi="Times New Roman" w:cs="Times New Roman"/>
                <w:sz w:val="28"/>
                <w:szCs w:val="28"/>
                <w:lang w:val="en-GB"/>
              </w:rPr>
              <w:t xml:space="preserve">Extreme market volatility in late August and developments in commodities and Chinese exchange rate policy distracted and alarmed the Fed sufficiently to ignore very strong US activity and employment data and tilt their preference to sitting on their hands for just a little longer. That most likely means a move to hike rates at the mid-December FOMC meeting, by which we should have a sense of whether the Fed is risking getting dangerously behind the curve on starting its withdrawal of accommodation or </w:t>
            </w:r>
            <w:r w:rsidR="00210086">
              <w:rPr>
                <w:rFonts w:ascii="Times New Roman" w:hAnsi="Times New Roman" w:cs="Times New Roman"/>
                <w:sz w:val="28"/>
                <w:szCs w:val="28"/>
                <w:lang w:val="en-GB"/>
              </w:rPr>
              <w:t>will it sit on its hands until well into 2016.</w:t>
            </w:r>
            <w:r w:rsidRPr="00453747">
              <w:rPr>
                <w:rFonts w:ascii="Times New Roman" w:hAnsi="Times New Roman" w:cs="Times New Roman"/>
                <w:sz w:val="28"/>
                <w:szCs w:val="28"/>
                <w:lang w:val="en-GB"/>
              </w:rPr>
              <w:t xml:space="preserve">  </w:t>
            </w:r>
          </w:p>
        </w:tc>
        <w:tc>
          <w:tcPr>
            <w:tcW w:w="4788" w:type="dxa"/>
          </w:tcPr>
          <w:p w:rsidR="00453747" w:rsidRPr="00453747" w:rsidRDefault="00453747" w:rsidP="00F54961">
            <w:pPr>
              <w:rPr>
                <w:rFonts w:ascii="Times New Roman" w:hAnsi="Times New Roman" w:cs="Times New Roman"/>
                <w:sz w:val="28"/>
                <w:szCs w:val="28"/>
                <w:lang w:val="en-GB"/>
              </w:rPr>
            </w:pPr>
          </w:p>
        </w:tc>
      </w:tr>
      <w:tr w:rsidR="00453747" w:rsidRPr="00453747" w:rsidTr="00453747">
        <w:tc>
          <w:tcPr>
            <w:tcW w:w="4788" w:type="dxa"/>
          </w:tcPr>
          <w:p w:rsidR="00453747" w:rsidRPr="00453747" w:rsidRDefault="00453747" w:rsidP="00F54961">
            <w:pPr>
              <w:rPr>
                <w:rFonts w:ascii="Times New Roman" w:hAnsi="Times New Roman" w:cs="Times New Roman"/>
                <w:sz w:val="28"/>
                <w:szCs w:val="28"/>
                <w:lang w:val="en-GB"/>
              </w:rPr>
            </w:pPr>
            <w:r w:rsidRPr="00453747">
              <w:rPr>
                <w:rFonts w:ascii="Times New Roman" w:hAnsi="Times New Roman" w:cs="Times New Roman"/>
                <w:sz w:val="28"/>
                <w:szCs w:val="28"/>
                <w:lang w:val="en-GB"/>
              </w:rPr>
              <w:t xml:space="preserve">The further delay to the Fed’s first rate hike </w:t>
            </w:r>
            <w:r w:rsidR="00210086">
              <w:rPr>
                <w:rFonts w:ascii="Times New Roman" w:hAnsi="Times New Roman" w:cs="Times New Roman"/>
                <w:sz w:val="28"/>
                <w:szCs w:val="28"/>
                <w:lang w:val="en-GB"/>
              </w:rPr>
              <w:t xml:space="preserve">together with the potential for more </w:t>
            </w:r>
            <w:r w:rsidR="00210086">
              <w:rPr>
                <w:rFonts w:ascii="Times New Roman" w:hAnsi="Times New Roman" w:cs="Times New Roman"/>
                <w:sz w:val="28"/>
                <w:szCs w:val="28"/>
                <w:lang w:val="en-GB"/>
              </w:rPr>
              <w:lastRenderedPageBreak/>
              <w:t xml:space="preserve">QE from the ECB </w:t>
            </w:r>
            <w:r w:rsidRPr="00453747">
              <w:rPr>
                <w:rFonts w:ascii="Times New Roman" w:hAnsi="Times New Roman" w:cs="Times New Roman"/>
                <w:sz w:val="28"/>
                <w:szCs w:val="28"/>
                <w:lang w:val="en-GB"/>
              </w:rPr>
              <w:t>could see a significant bounce in emerging market currency prospects during Q4 and delay the return of the USD bull market, though we could see a quarter in which the USD starts weak but finishes strong.</w:t>
            </w:r>
          </w:p>
        </w:tc>
        <w:tc>
          <w:tcPr>
            <w:tcW w:w="4788" w:type="dxa"/>
          </w:tcPr>
          <w:p w:rsidR="00453747" w:rsidRPr="00453747" w:rsidRDefault="00453747" w:rsidP="00F54961">
            <w:pPr>
              <w:rPr>
                <w:rFonts w:ascii="Times New Roman" w:hAnsi="Times New Roman" w:cs="Times New Roman"/>
                <w:sz w:val="28"/>
                <w:szCs w:val="28"/>
                <w:lang w:val="en-GB"/>
              </w:rPr>
            </w:pPr>
          </w:p>
        </w:tc>
      </w:tr>
      <w:tr w:rsidR="00453747" w:rsidRPr="00453747" w:rsidTr="00453747">
        <w:tc>
          <w:tcPr>
            <w:tcW w:w="4788" w:type="dxa"/>
          </w:tcPr>
          <w:p w:rsidR="00453747" w:rsidRPr="00453747" w:rsidRDefault="00453747" w:rsidP="00F54961">
            <w:pPr>
              <w:rPr>
                <w:rFonts w:ascii="Times New Roman" w:hAnsi="Times New Roman" w:cs="Times New Roman"/>
                <w:sz w:val="28"/>
                <w:szCs w:val="28"/>
                <w:lang w:val="en-GB"/>
              </w:rPr>
            </w:pPr>
            <w:r w:rsidRPr="00453747">
              <w:rPr>
                <w:rFonts w:ascii="Times New Roman" w:hAnsi="Times New Roman" w:cs="Times New Roman"/>
                <w:sz w:val="28"/>
                <w:szCs w:val="28"/>
                <w:lang w:val="en-GB"/>
              </w:rPr>
              <w:lastRenderedPageBreak/>
              <w:t xml:space="preserve">There is a significant risk in Q4 that we see another disorderly move in risk sentiment whose result would be a spike higher in the Japanese yen in particular, if not also the euro, as was seen in the August market meltdown. </w:t>
            </w:r>
          </w:p>
        </w:tc>
        <w:tc>
          <w:tcPr>
            <w:tcW w:w="4788" w:type="dxa"/>
          </w:tcPr>
          <w:p w:rsidR="00453747" w:rsidRPr="00453747" w:rsidRDefault="00453747" w:rsidP="00F54961">
            <w:pPr>
              <w:rPr>
                <w:rFonts w:ascii="Times New Roman" w:hAnsi="Times New Roman" w:cs="Times New Roman"/>
                <w:sz w:val="28"/>
                <w:szCs w:val="28"/>
                <w:lang w:val="en-GB"/>
              </w:rPr>
            </w:pPr>
          </w:p>
        </w:tc>
      </w:tr>
      <w:tr w:rsidR="00453747" w:rsidRPr="00453747" w:rsidTr="00453747">
        <w:tc>
          <w:tcPr>
            <w:tcW w:w="4788" w:type="dxa"/>
          </w:tcPr>
          <w:p w:rsidR="00453747" w:rsidRPr="00453747" w:rsidRDefault="00453747" w:rsidP="00F54961">
            <w:pPr>
              <w:rPr>
                <w:rFonts w:ascii="Times New Roman" w:hAnsi="Times New Roman" w:cs="Times New Roman"/>
                <w:sz w:val="28"/>
                <w:szCs w:val="28"/>
                <w:lang w:val="en-GB"/>
              </w:rPr>
            </w:pPr>
            <w:r w:rsidRPr="00453747">
              <w:rPr>
                <w:rFonts w:ascii="Times New Roman" w:hAnsi="Times New Roman" w:cs="Times New Roman"/>
                <w:sz w:val="28"/>
                <w:szCs w:val="28"/>
                <w:lang w:val="en-GB"/>
              </w:rPr>
              <w:t>Any marked appreciation in t</w:t>
            </w:r>
            <w:r w:rsidR="00721E66">
              <w:rPr>
                <w:rFonts w:ascii="Times New Roman" w:hAnsi="Times New Roman" w:cs="Times New Roman"/>
                <w:sz w:val="28"/>
                <w:szCs w:val="28"/>
                <w:lang w:val="en-GB"/>
              </w:rPr>
              <w:t>he e</w:t>
            </w:r>
            <w:r w:rsidRPr="00453747">
              <w:rPr>
                <w:rFonts w:ascii="Times New Roman" w:hAnsi="Times New Roman" w:cs="Times New Roman"/>
                <w:sz w:val="28"/>
                <w:szCs w:val="28"/>
                <w:lang w:val="en-GB"/>
              </w:rPr>
              <w:t xml:space="preserve">uro or the yen from here, however, will likely be met with new easing measures from the European Central Bank and the Bank of Japan, eventually helping to turn the USD back to the strong side and possibly also bringing further relief to emerging markets. </w:t>
            </w:r>
          </w:p>
        </w:tc>
        <w:tc>
          <w:tcPr>
            <w:tcW w:w="4788" w:type="dxa"/>
          </w:tcPr>
          <w:p w:rsidR="00453747" w:rsidRPr="00453747" w:rsidRDefault="00453747" w:rsidP="00F54961">
            <w:pPr>
              <w:rPr>
                <w:rFonts w:ascii="Times New Roman" w:hAnsi="Times New Roman" w:cs="Times New Roman"/>
                <w:sz w:val="28"/>
                <w:szCs w:val="28"/>
                <w:lang w:val="en-GB"/>
              </w:rPr>
            </w:pPr>
          </w:p>
        </w:tc>
      </w:tr>
      <w:tr w:rsidR="00453747" w:rsidRPr="00453747" w:rsidTr="00453747">
        <w:tc>
          <w:tcPr>
            <w:tcW w:w="4788" w:type="dxa"/>
          </w:tcPr>
          <w:p w:rsidR="00453747" w:rsidRPr="00453747" w:rsidRDefault="00453747" w:rsidP="00F54961">
            <w:pPr>
              <w:rPr>
                <w:rFonts w:ascii="Times New Roman" w:hAnsi="Times New Roman" w:cs="Times New Roman"/>
                <w:sz w:val="28"/>
                <w:szCs w:val="28"/>
                <w:lang w:val="en-GB"/>
              </w:rPr>
            </w:pPr>
            <w:r w:rsidRPr="00453747">
              <w:rPr>
                <w:rFonts w:ascii="Times New Roman" w:hAnsi="Times New Roman" w:cs="Times New Roman"/>
                <w:sz w:val="28"/>
                <w:szCs w:val="28"/>
                <w:lang w:val="en-GB"/>
              </w:rPr>
              <w:t>The wildcard for Q4 could be the pace that China allows its currency to devalue after fighting pressure on the currency to weaken with extensive reserves after its August devaluation and exchange rate regime change to a managed float (with double emphasis so far on the “managed”.)</w:t>
            </w:r>
          </w:p>
        </w:tc>
        <w:tc>
          <w:tcPr>
            <w:tcW w:w="4788" w:type="dxa"/>
          </w:tcPr>
          <w:p w:rsidR="00453747" w:rsidRPr="00453747" w:rsidRDefault="00453747" w:rsidP="00F54961">
            <w:pPr>
              <w:rPr>
                <w:rFonts w:ascii="Times New Roman" w:hAnsi="Times New Roman" w:cs="Times New Roman"/>
                <w:sz w:val="28"/>
                <w:szCs w:val="28"/>
                <w:lang w:val="en-GB"/>
              </w:rPr>
            </w:pPr>
          </w:p>
        </w:tc>
      </w:tr>
      <w:tr w:rsidR="00453747" w:rsidRPr="00453747" w:rsidTr="00453747">
        <w:tc>
          <w:tcPr>
            <w:tcW w:w="4788" w:type="dxa"/>
          </w:tcPr>
          <w:p w:rsidR="00453747" w:rsidRPr="00453747" w:rsidRDefault="00453747" w:rsidP="00F54961">
            <w:pPr>
              <w:rPr>
                <w:rFonts w:ascii="Times New Roman" w:hAnsi="Times New Roman" w:cs="Times New Roman"/>
                <w:b/>
                <w:sz w:val="28"/>
                <w:szCs w:val="28"/>
                <w:lang w:val="en-GB"/>
              </w:rPr>
            </w:pPr>
            <w:r w:rsidRPr="00453747">
              <w:rPr>
                <w:rFonts w:ascii="Times New Roman" w:hAnsi="Times New Roman" w:cs="Times New Roman"/>
                <w:b/>
                <w:sz w:val="28"/>
                <w:szCs w:val="28"/>
                <w:lang w:val="en-GB"/>
              </w:rPr>
              <w:t>Spotlight on emerging market currencies</w:t>
            </w:r>
          </w:p>
        </w:tc>
        <w:tc>
          <w:tcPr>
            <w:tcW w:w="4788" w:type="dxa"/>
          </w:tcPr>
          <w:p w:rsidR="00453747" w:rsidRPr="00453747" w:rsidRDefault="00453747" w:rsidP="00F54961">
            <w:pPr>
              <w:rPr>
                <w:rFonts w:ascii="Times New Roman" w:hAnsi="Times New Roman" w:cs="Times New Roman"/>
                <w:b/>
                <w:sz w:val="28"/>
                <w:szCs w:val="28"/>
                <w:lang w:val="en-GB"/>
              </w:rPr>
            </w:pPr>
          </w:p>
        </w:tc>
      </w:tr>
      <w:tr w:rsidR="00453747" w:rsidRPr="00453747" w:rsidTr="00453747">
        <w:tc>
          <w:tcPr>
            <w:tcW w:w="4788" w:type="dxa"/>
          </w:tcPr>
          <w:p w:rsidR="00453747" w:rsidRPr="00453747" w:rsidRDefault="00453747" w:rsidP="00F54961">
            <w:pPr>
              <w:rPr>
                <w:rFonts w:ascii="Times New Roman" w:hAnsi="Times New Roman" w:cs="Times New Roman"/>
                <w:sz w:val="28"/>
                <w:szCs w:val="28"/>
                <w:lang w:val="en-GB"/>
              </w:rPr>
            </w:pPr>
            <w:r w:rsidRPr="00453747">
              <w:rPr>
                <w:rFonts w:ascii="Times New Roman" w:hAnsi="Times New Roman" w:cs="Times New Roman"/>
                <w:sz w:val="28"/>
                <w:szCs w:val="28"/>
                <w:lang w:val="en-GB"/>
              </w:rPr>
              <w:t xml:space="preserve">Emerging market currencies were under massive further strain in Q3 in an extension of the move lower that started almost perfectly in synch with the end of the Fed’s tapering process in late 2014 until the lead-up to the September FOMC meeting. </w:t>
            </w:r>
          </w:p>
        </w:tc>
        <w:tc>
          <w:tcPr>
            <w:tcW w:w="4788" w:type="dxa"/>
          </w:tcPr>
          <w:p w:rsidR="00453747" w:rsidRPr="00453747" w:rsidRDefault="00453747" w:rsidP="00F54961">
            <w:pPr>
              <w:rPr>
                <w:rFonts w:ascii="Times New Roman" w:hAnsi="Times New Roman" w:cs="Times New Roman"/>
                <w:sz w:val="28"/>
                <w:szCs w:val="28"/>
                <w:lang w:val="en-GB"/>
              </w:rPr>
            </w:pPr>
          </w:p>
        </w:tc>
      </w:tr>
      <w:tr w:rsidR="00453747" w:rsidRPr="00453747" w:rsidTr="00453747">
        <w:tc>
          <w:tcPr>
            <w:tcW w:w="4788" w:type="dxa"/>
          </w:tcPr>
          <w:p w:rsidR="00453747" w:rsidRPr="00453747" w:rsidRDefault="00453747" w:rsidP="00F54961">
            <w:pPr>
              <w:rPr>
                <w:rFonts w:ascii="Times New Roman" w:hAnsi="Times New Roman" w:cs="Times New Roman"/>
                <w:sz w:val="28"/>
                <w:szCs w:val="28"/>
                <w:lang w:val="en-GB"/>
              </w:rPr>
            </w:pPr>
            <w:r w:rsidRPr="00453747">
              <w:rPr>
                <w:rFonts w:ascii="Times New Roman" w:hAnsi="Times New Roman" w:cs="Times New Roman"/>
                <w:sz w:val="28"/>
                <w:szCs w:val="28"/>
                <w:lang w:val="en-GB"/>
              </w:rPr>
              <w:t xml:space="preserve">In Q3, the renewed commodities meltdown and then the China devaluation and global market turmoil </w:t>
            </w:r>
            <w:r w:rsidRPr="00453747">
              <w:rPr>
                <w:rFonts w:ascii="Times New Roman" w:hAnsi="Times New Roman" w:cs="Times New Roman"/>
                <w:sz w:val="28"/>
                <w:szCs w:val="28"/>
                <w:lang w:val="en-GB"/>
              </w:rPr>
              <w:lastRenderedPageBreak/>
              <w:t xml:space="preserve">in late August provided a further pummelling of already down-and-out exchange rates. The emerging market currencies with the worst structural setups – including the likes of commodity-dependent Brazil and Russia, as well as Turkey and South Africa – may have become so cheap after this latest bout of selling that it will only take a modest return of market risk willingness to see a significant bounce in their prospects in Q4, even as significant questions remain on whether (carry-adjusted) </w:t>
            </w:r>
            <w:r w:rsidR="00210086">
              <w:rPr>
                <w:rFonts w:ascii="Times New Roman" w:hAnsi="Times New Roman" w:cs="Times New Roman"/>
                <w:sz w:val="28"/>
                <w:szCs w:val="28"/>
                <w:lang w:val="en-GB"/>
              </w:rPr>
              <w:t>lows are in for the longer haul as these countries continue to face steep structural challenges from USD-denominated debt.</w:t>
            </w:r>
          </w:p>
        </w:tc>
        <w:tc>
          <w:tcPr>
            <w:tcW w:w="4788" w:type="dxa"/>
          </w:tcPr>
          <w:p w:rsidR="00453747" w:rsidRPr="00453747" w:rsidRDefault="00453747" w:rsidP="00F54961">
            <w:pPr>
              <w:rPr>
                <w:rFonts w:ascii="Times New Roman" w:hAnsi="Times New Roman" w:cs="Times New Roman"/>
                <w:sz w:val="28"/>
                <w:szCs w:val="28"/>
                <w:lang w:val="en-GB"/>
              </w:rPr>
            </w:pPr>
          </w:p>
        </w:tc>
      </w:tr>
      <w:tr w:rsidR="00453747" w:rsidRPr="00453747" w:rsidTr="00453747">
        <w:tc>
          <w:tcPr>
            <w:tcW w:w="4788" w:type="dxa"/>
          </w:tcPr>
          <w:p w:rsidR="00453747" w:rsidRPr="00453747" w:rsidRDefault="00453747" w:rsidP="00F54961">
            <w:pPr>
              <w:rPr>
                <w:rFonts w:ascii="Times New Roman" w:hAnsi="Times New Roman" w:cs="Times New Roman"/>
                <w:sz w:val="28"/>
                <w:szCs w:val="28"/>
                <w:lang w:val="en-GB"/>
              </w:rPr>
            </w:pPr>
            <w:r w:rsidRPr="00453747">
              <w:rPr>
                <w:rFonts w:ascii="Times New Roman" w:hAnsi="Times New Roman" w:cs="Times New Roman"/>
                <w:sz w:val="28"/>
                <w:szCs w:val="28"/>
                <w:lang w:val="en-GB"/>
              </w:rPr>
              <w:lastRenderedPageBreak/>
              <w:t>But rather than focus on the higher beta/higher risk currencies to pick interesting emerging prospects for Q4, we would prefer a conservative approach</w:t>
            </w:r>
            <w:r w:rsidR="00721E66">
              <w:rPr>
                <w:rFonts w:ascii="Times New Roman" w:hAnsi="Times New Roman" w:cs="Times New Roman"/>
                <w:sz w:val="28"/>
                <w:szCs w:val="28"/>
                <w:lang w:val="en-GB"/>
              </w:rPr>
              <w:t xml:space="preserve"> of finding the emerging market</w:t>
            </w:r>
            <w:r w:rsidRPr="00453747">
              <w:rPr>
                <w:rFonts w:ascii="Times New Roman" w:hAnsi="Times New Roman" w:cs="Times New Roman"/>
                <w:sz w:val="28"/>
                <w:szCs w:val="28"/>
                <w:lang w:val="en-GB"/>
              </w:rPr>
              <w:t xml:space="preserve"> currencies that may have been excessively beat down by the latest across the board pressure and where the structural situation looks healthier. As such, we will shine the spotlight on the Mexican peso and Polish zloty as our choices for a comeback in Q4.</w:t>
            </w:r>
          </w:p>
        </w:tc>
        <w:tc>
          <w:tcPr>
            <w:tcW w:w="4788" w:type="dxa"/>
          </w:tcPr>
          <w:p w:rsidR="00453747" w:rsidRPr="00453747" w:rsidRDefault="00453747" w:rsidP="00F54961">
            <w:pPr>
              <w:rPr>
                <w:rFonts w:ascii="Times New Roman" w:hAnsi="Times New Roman" w:cs="Times New Roman"/>
                <w:sz w:val="28"/>
                <w:szCs w:val="28"/>
                <w:lang w:val="en-GB"/>
              </w:rPr>
            </w:pPr>
          </w:p>
        </w:tc>
      </w:tr>
      <w:tr w:rsidR="00453747" w:rsidRPr="00453747" w:rsidTr="00453747">
        <w:tc>
          <w:tcPr>
            <w:tcW w:w="4788" w:type="dxa"/>
          </w:tcPr>
          <w:p w:rsidR="00453747" w:rsidRPr="00453747" w:rsidRDefault="00453747" w:rsidP="00813B86">
            <w:pPr>
              <w:rPr>
                <w:rFonts w:ascii="Times New Roman" w:hAnsi="Times New Roman" w:cs="Times New Roman"/>
                <w:sz w:val="28"/>
                <w:szCs w:val="28"/>
                <w:lang w:val="en-GB"/>
              </w:rPr>
            </w:pPr>
            <w:r w:rsidRPr="00453747">
              <w:rPr>
                <w:rFonts w:ascii="Times New Roman" w:hAnsi="Times New Roman" w:cs="Times New Roman"/>
                <w:i/>
                <w:sz w:val="28"/>
                <w:szCs w:val="28"/>
                <w:u w:val="single"/>
                <w:lang w:val="en-GB"/>
              </w:rPr>
              <w:t>MXN</w:t>
            </w:r>
            <w:r w:rsidRPr="00453747">
              <w:rPr>
                <w:rFonts w:ascii="Times New Roman" w:hAnsi="Times New Roman" w:cs="Times New Roman"/>
                <w:sz w:val="28"/>
                <w:szCs w:val="28"/>
                <w:lang w:val="en-GB"/>
              </w:rPr>
              <w:t>: The Mexican peso is the baby that has been thrown out with the bathwater among EM currencies. As it is one of the most liquid EM currencies, it is likely often traded as an EM proxy has been excessively beaten down among its EM peers</w:t>
            </w:r>
            <w:r w:rsidR="00813B86">
              <w:rPr>
                <w:rFonts w:ascii="Times New Roman" w:hAnsi="Times New Roman" w:cs="Times New Roman"/>
                <w:sz w:val="28"/>
                <w:szCs w:val="28"/>
                <w:lang w:val="en-GB"/>
              </w:rPr>
              <w:t>, and is primed for #</w:t>
            </w:r>
            <w:proofErr w:type="spellStart"/>
            <w:r w:rsidR="00813B86">
              <w:rPr>
                <w:rFonts w:ascii="Times New Roman" w:hAnsi="Times New Roman" w:cs="Times New Roman"/>
                <w:sz w:val="28"/>
                <w:szCs w:val="28"/>
                <w:lang w:val="en-GB"/>
              </w:rPr>
              <w:t>SaxoStrats</w:t>
            </w:r>
            <w:proofErr w:type="spellEnd"/>
            <w:r w:rsidR="00813B86">
              <w:rPr>
                <w:rFonts w:ascii="Times New Roman" w:hAnsi="Times New Roman" w:cs="Times New Roman"/>
                <w:sz w:val="28"/>
                <w:szCs w:val="28"/>
                <w:lang w:val="en-GB"/>
              </w:rPr>
              <w:t>.</w:t>
            </w:r>
            <w:r w:rsidRPr="00453747">
              <w:rPr>
                <w:rFonts w:ascii="Times New Roman" w:hAnsi="Times New Roman" w:cs="Times New Roman"/>
                <w:sz w:val="28"/>
                <w:szCs w:val="28"/>
                <w:lang w:val="en-GB"/>
              </w:rPr>
              <w:t xml:space="preserve"> </w:t>
            </w:r>
          </w:p>
        </w:tc>
        <w:tc>
          <w:tcPr>
            <w:tcW w:w="4788" w:type="dxa"/>
          </w:tcPr>
          <w:p w:rsidR="00453747" w:rsidRPr="00453747" w:rsidRDefault="00453747" w:rsidP="00F54961">
            <w:pPr>
              <w:rPr>
                <w:rFonts w:ascii="Times New Roman" w:hAnsi="Times New Roman" w:cs="Times New Roman"/>
                <w:i/>
                <w:sz w:val="28"/>
                <w:szCs w:val="28"/>
                <w:u w:val="single"/>
                <w:lang w:val="en-GB"/>
              </w:rPr>
            </w:pPr>
          </w:p>
        </w:tc>
      </w:tr>
      <w:tr w:rsidR="00453747" w:rsidRPr="00453747" w:rsidTr="00453747">
        <w:tc>
          <w:tcPr>
            <w:tcW w:w="4788" w:type="dxa"/>
          </w:tcPr>
          <w:p w:rsidR="00453747" w:rsidRPr="00453747" w:rsidRDefault="00453747" w:rsidP="00721E66">
            <w:pPr>
              <w:rPr>
                <w:rFonts w:ascii="Times New Roman" w:hAnsi="Times New Roman" w:cs="Times New Roman"/>
                <w:sz w:val="28"/>
                <w:szCs w:val="28"/>
                <w:lang w:val="en-GB"/>
              </w:rPr>
            </w:pPr>
            <w:r w:rsidRPr="00453747">
              <w:rPr>
                <w:rFonts w:ascii="Times New Roman" w:hAnsi="Times New Roman" w:cs="Times New Roman"/>
                <w:sz w:val="28"/>
                <w:szCs w:val="28"/>
                <w:lang w:val="en-GB"/>
              </w:rPr>
              <w:t>If we</w:t>
            </w:r>
            <w:r w:rsidR="00813B86">
              <w:rPr>
                <w:rFonts w:ascii="Times New Roman" w:hAnsi="Times New Roman" w:cs="Times New Roman"/>
                <w:sz w:val="28"/>
                <w:szCs w:val="28"/>
                <w:lang w:val="en-GB"/>
              </w:rPr>
              <w:t xml:space="preserve"> see any comeback in EM in Q4, </w:t>
            </w:r>
            <w:r w:rsidRPr="00453747">
              <w:rPr>
                <w:rFonts w:ascii="Times New Roman" w:hAnsi="Times New Roman" w:cs="Times New Roman"/>
                <w:sz w:val="28"/>
                <w:szCs w:val="28"/>
                <w:lang w:val="en-GB"/>
              </w:rPr>
              <w:t xml:space="preserve">MXN will likely participate strongly. Among the positives for Mexico </w:t>
            </w:r>
            <w:r w:rsidR="00721E66">
              <w:rPr>
                <w:rFonts w:ascii="Times New Roman" w:hAnsi="Times New Roman" w:cs="Times New Roman"/>
                <w:sz w:val="28"/>
                <w:szCs w:val="28"/>
                <w:lang w:val="en-GB"/>
              </w:rPr>
              <w:t xml:space="preserve">is </w:t>
            </w:r>
            <w:r w:rsidRPr="00453747">
              <w:rPr>
                <w:rFonts w:ascii="Times New Roman" w:hAnsi="Times New Roman" w:cs="Times New Roman"/>
                <w:sz w:val="28"/>
                <w:szCs w:val="28"/>
                <w:lang w:val="en-GB"/>
              </w:rPr>
              <w:t xml:space="preserve">the </w:t>
            </w:r>
            <w:r w:rsidRPr="00453747">
              <w:rPr>
                <w:rFonts w:ascii="Times New Roman" w:hAnsi="Times New Roman" w:cs="Times New Roman"/>
                <w:sz w:val="28"/>
                <w:szCs w:val="28"/>
                <w:lang w:val="en-GB"/>
              </w:rPr>
              <w:lastRenderedPageBreak/>
              <w:t>structural situation, as the current account has not deteriorated beyond a modest deficit despite the oil price drop. As well, 67% of Mexican exports are into the strengthening US economy, Mexican real rates are edging into positive territory as inflation eases despite the weak currency of late, and the ce</w:t>
            </w:r>
            <w:r w:rsidR="00721E66">
              <w:rPr>
                <w:rFonts w:ascii="Times New Roman" w:hAnsi="Times New Roman" w:cs="Times New Roman"/>
                <w:sz w:val="28"/>
                <w:szCs w:val="28"/>
                <w:lang w:val="en-GB"/>
              </w:rPr>
              <w:t>ntral bank may eventually hike</w:t>
            </w:r>
            <w:r w:rsidRPr="00453747">
              <w:rPr>
                <w:rFonts w:ascii="Times New Roman" w:hAnsi="Times New Roman" w:cs="Times New Roman"/>
                <w:sz w:val="28"/>
                <w:szCs w:val="28"/>
                <w:lang w:val="en-GB"/>
              </w:rPr>
              <w:t xml:space="preserve"> rates in line with the Fed to support further MXN strength.</w:t>
            </w:r>
          </w:p>
        </w:tc>
        <w:tc>
          <w:tcPr>
            <w:tcW w:w="4788" w:type="dxa"/>
          </w:tcPr>
          <w:p w:rsidR="00453747" w:rsidRPr="00453747" w:rsidRDefault="00453747" w:rsidP="00F54961">
            <w:pPr>
              <w:rPr>
                <w:rFonts w:ascii="Times New Roman" w:hAnsi="Times New Roman" w:cs="Times New Roman"/>
                <w:sz w:val="28"/>
                <w:szCs w:val="28"/>
                <w:lang w:val="en-GB"/>
              </w:rPr>
            </w:pPr>
          </w:p>
        </w:tc>
      </w:tr>
      <w:tr w:rsidR="00453747" w:rsidRPr="00453747" w:rsidTr="00453747">
        <w:tc>
          <w:tcPr>
            <w:tcW w:w="4788" w:type="dxa"/>
          </w:tcPr>
          <w:p w:rsidR="00453747" w:rsidRPr="00453747" w:rsidRDefault="00453747" w:rsidP="00F54961">
            <w:pPr>
              <w:rPr>
                <w:rFonts w:ascii="Times New Roman" w:hAnsi="Times New Roman" w:cs="Times New Roman"/>
                <w:sz w:val="28"/>
                <w:szCs w:val="28"/>
                <w:lang w:val="en-GB"/>
              </w:rPr>
            </w:pPr>
            <w:r w:rsidRPr="00453747">
              <w:rPr>
                <w:rFonts w:ascii="Times New Roman" w:hAnsi="Times New Roman" w:cs="Times New Roman"/>
                <w:i/>
                <w:sz w:val="28"/>
                <w:szCs w:val="28"/>
                <w:u w:val="single"/>
                <w:lang w:val="en-GB"/>
              </w:rPr>
              <w:lastRenderedPageBreak/>
              <w:t>PLN</w:t>
            </w:r>
            <w:r w:rsidRPr="00453747">
              <w:rPr>
                <w:rFonts w:ascii="Times New Roman" w:hAnsi="Times New Roman" w:cs="Times New Roman"/>
                <w:sz w:val="28"/>
                <w:szCs w:val="28"/>
                <w:lang w:val="en-GB"/>
              </w:rPr>
              <w:t>: The last few years have shown us that the link between CEE currency performance and general EM performance is far weaker than it used to be, as the world sees the “big three” among the CEE currencies – PLN, CZK and HUF – to one degree or another as a convergence trade with the euro.</w:t>
            </w:r>
          </w:p>
        </w:tc>
        <w:tc>
          <w:tcPr>
            <w:tcW w:w="4788" w:type="dxa"/>
          </w:tcPr>
          <w:p w:rsidR="00453747" w:rsidRPr="00453747" w:rsidRDefault="00453747" w:rsidP="00F54961">
            <w:pPr>
              <w:rPr>
                <w:rFonts w:ascii="Times New Roman" w:hAnsi="Times New Roman" w:cs="Times New Roman"/>
                <w:i/>
                <w:sz w:val="28"/>
                <w:szCs w:val="28"/>
                <w:u w:val="single"/>
                <w:lang w:val="en-GB"/>
              </w:rPr>
            </w:pPr>
          </w:p>
        </w:tc>
      </w:tr>
      <w:tr w:rsidR="00453747" w:rsidRPr="00453747" w:rsidTr="00453747">
        <w:tc>
          <w:tcPr>
            <w:tcW w:w="4788" w:type="dxa"/>
          </w:tcPr>
          <w:p w:rsidR="00453747" w:rsidRPr="00453747" w:rsidRDefault="00453747" w:rsidP="00F54961">
            <w:pPr>
              <w:rPr>
                <w:rFonts w:ascii="Times New Roman" w:hAnsi="Times New Roman" w:cs="Times New Roman"/>
                <w:sz w:val="28"/>
                <w:szCs w:val="28"/>
                <w:lang w:val="en-GB"/>
              </w:rPr>
            </w:pPr>
            <w:r w:rsidRPr="00453747">
              <w:rPr>
                <w:rFonts w:ascii="Times New Roman" w:hAnsi="Times New Roman" w:cs="Times New Roman"/>
                <w:sz w:val="28"/>
                <w:szCs w:val="28"/>
                <w:lang w:val="en-GB"/>
              </w:rPr>
              <w:t xml:space="preserve"> Poland’s economic fundamentals look solid heading into Q4, the country maintains a large and unthreatened pile of reserves, and Poland offers positive real rates with a 1.50% central bank rate and slightly negative inflation. EURPLN could return back to the 4.00 level over the next few months as the euro carry trade makes a comeback after a possible hiccup or two.  </w:t>
            </w:r>
          </w:p>
        </w:tc>
        <w:tc>
          <w:tcPr>
            <w:tcW w:w="4788" w:type="dxa"/>
          </w:tcPr>
          <w:p w:rsidR="00453747" w:rsidRPr="00453747" w:rsidRDefault="00453747" w:rsidP="00F54961">
            <w:pPr>
              <w:rPr>
                <w:rFonts w:ascii="Times New Roman" w:hAnsi="Times New Roman" w:cs="Times New Roman"/>
                <w:sz w:val="28"/>
                <w:szCs w:val="28"/>
                <w:lang w:val="en-GB"/>
              </w:rPr>
            </w:pPr>
          </w:p>
        </w:tc>
      </w:tr>
      <w:tr w:rsidR="00453747" w:rsidRPr="00453747" w:rsidTr="00453747">
        <w:tc>
          <w:tcPr>
            <w:tcW w:w="4788" w:type="dxa"/>
          </w:tcPr>
          <w:p w:rsidR="00453747" w:rsidRPr="00453747" w:rsidRDefault="00453747" w:rsidP="00F54961">
            <w:pPr>
              <w:rPr>
                <w:rFonts w:ascii="Times New Roman" w:hAnsi="Times New Roman" w:cs="Times New Roman"/>
                <w:sz w:val="28"/>
                <w:szCs w:val="28"/>
                <w:lang w:val="en-GB"/>
              </w:rPr>
            </w:pPr>
            <w:r w:rsidRPr="00453747">
              <w:rPr>
                <w:rFonts w:ascii="Times New Roman" w:hAnsi="Times New Roman" w:cs="Times New Roman"/>
                <w:sz w:val="28"/>
                <w:szCs w:val="28"/>
                <w:lang w:val="en-GB"/>
              </w:rPr>
              <w:t>The one risk is a political one in Poland, as a possible new law-and-justice government after the October 25 general election could force Polish banks to take a loss on remaining CHF-denominated mortgages, though this should prove a one-off, modest adjustment.</w:t>
            </w:r>
          </w:p>
        </w:tc>
        <w:tc>
          <w:tcPr>
            <w:tcW w:w="4788" w:type="dxa"/>
          </w:tcPr>
          <w:p w:rsidR="00453747" w:rsidRPr="00453747" w:rsidRDefault="00453747" w:rsidP="00F54961">
            <w:pPr>
              <w:rPr>
                <w:rFonts w:ascii="Times New Roman" w:hAnsi="Times New Roman" w:cs="Times New Roman"/>
                <w:sz w:val="28"/>
                <w:szCs w:val="28"/>
                <w:lang w:val="en-GB"/>
              </w:rPr>
            </w:pPr>
          </w:p>
        </w:tc>
      </w:tr>
      <w:tr w:rsidR="00453747" w:rsidRPr="00453747" w:rsidTr="00453747">
        <w:tc>
          <w:tcPr>
            <w:tcW w:w="4788" w:type="dxa"/>
          </w:tcPr>
          <w:p w:rsidR="00453747" w:rsidRPr="00453747" w:rsidRDefault="00453747" w:rsidP="00F54961">
            <w:pPr>
              <w:rPr>
                <w:rFonts w:ascii="Times New Roman" w:hAnsi="Times New Roman" w:cs="Times New Roman"/>
                <w:b/>
                <w:sz w:val="28"/>
                <w:szCs w:val="28"/>
                <w:lang w:val="en-GB"/>
              </w:rPr>
            </w:pPr>
            <w:r w:rsidRPr="00453747">
              <w:rPr>
                <w:rFonts w:ascii="Times New Roman" w:hAnsi="Times New Roman" w:cs="Times New Roman"/>
                <w:b/>
                <w:sz w:val="28"/>
                <w:szCs w:val="28"/>
                <w:lang w:val="en-GB"/>
              </w:rPr>
              <w:t>EM currencies with a twist:  trading EM against what?</w:t>
            </w:r>
          </w:p>
        </w:tc>
        <w:tc>
          <w:tcPr>
            <w:tcW w:w="4788" w:type="dxa"/>
          </w:tcPr>
          <w:p w:rsidR="00453747" w:rsidRPr="00453747" w:rsidRDefault="00453747" w:rsidP="00F54961">
            <w:pPr>
              <w:rPr>
                <w:rFonts w:ascii="Times New Roman" w:hAnsi="Times New Roman" w:cs="Times New Roman"/>
                <w:b/>
                <w:sz w:val="28"/>
                <w:szCs w:val="28"/>
                <w:lang w:val="en-GB"/>
              </w:rPr>
            </w:pPr>
          </w:p>
        </w:tc>
      </w:tr>
      <w:tr w:rsidR="00453747" w:rsidRPr="00453747" w:rsidTr="00453747">
        <w:tc>
          <w:tcPr>
            <w:tcW w:w="4788" w:type="dxa"/>
          </w:tcPr>
          <w:p w:rsidR="00453747" w:rsidRPr="00453747" w:rsidRDefault="00453747" w:rsidP="00F54961">
            <w:pPr>
              <w:rPr>
                <w:rFonts w:ascii="Times New Roman" w:hAnsi="Times New Roman" w:cs="Times New Roman"/>
                <w:sz w:val="28"/>
                <w:szCs w:val="28"/>
                <w:lang w:val="en-GB"/>
              </w:rPr>
            </w:pPr>
            <w:r w:rsidRPr="00453747">
              <w:rPr>
                <w:rFonts w:ascii="Times New Roman" w:hAnsi="Times New Roman" w:cs="Times New Roman"/>
                <w:sz w:val="28"/>
                <w:szCs w:val="28"/>
                <w:lang w:val="en-GB"/>
              </w:rPr>
              <w:t xml:space="preserve">Most trade flows in MXN are against the USD and most PLN trading is </w:t>
            </w:r>
            <w:r w:rsidRPr="00453747">
              <w:rPr>
                <w:rFonts w:ascii="Times New Roman" w:hAnsi="Times New Roman" w:cs="Times New Roman"/>
                <w:sz w:val="28"/>
                <w:szCs w:val="28"/>
                <w:lang w:val="en-GB"/>
              </w:rPr>
              <w:lastRenderedPageBreak/>
              <w:t>against the euro, so short USDMXN and short EURPLN are certainly one way to look for MXN and PLN appreciation going forward. However, there are two possible twists we can add to any long EM trades by pairing both of these trades against the euro and the Chinese offshore yuan (CNH)…</w:t>
            </w:r>
          </w:p>
        </w:tc>
        <w:tc>
          <w:tcPr>
            <w:tcW w:w="4788" w:type="dxa"/>
          </w:tcPr>
          <w:p w:rsidR="00453747" w:rsidRPr="00453747" w:rsidRDefault="00453747" w:rsidP="00F54961">
            <w:pPr>
              <w:rPr>
                <w:rFonts w:ascii="Times New Roman" w:hAnsi="Times New Roman" w:cs="Times New Roman"/>
                <w:sz w:val="28"/>
                <w:szCs w:val="28"/>
                <w:lang w:val="en-GB"/>
              </w:rPr>
            </w:pPr>
          </w:p>
        </w:tc>
      </w:tr>
      <w:tr w:rsidR="00453747" w:rsidRPr="00453747" w:rsidTr="00453747">
        <w:tc>
          <w:tcPr>
            <w:tcW w:w="4788" w:type="dxa"/>
          </w:tcPr>
          <w:p w:rsidR="00453747" w:rsidRPr="00453747" w:rsidRDefault="00453747" w:rsidP="00CC5DDC">
            <w:pPr>
              <w:rPr>
                <w:rFonts w:ascii="Times New Roman" w:hAnsi="Times New Roman" w:cs="Times New Roman"/>
                <w:sz w:val="28"/>
                <w:szCs w:val="28"/>
                <w:lang w:val="en-GB"/>
              </w:rPr>
            </w:pPr>
            <w:r w:rsidRPr="00453747">
              <w:rPr>
                <w:rFonts w:ascii="Times New Roman" w:hAnsi="Times New Roman" w:cs="Times New Roman"/>
                <w:sz w:val="28"/>
                <w:szCs w:val="28"/>
                <w:lang w:val="en-GB"/>
              </w:rPr>
              <w:lastRenderedPageBreak/>
              <w:t xml:space="preserve">First and foremost, an environment of strengthening emerging markets is likely also a positive environment for carry trades, with the euro in the crosshairs if risk appetite makes a comeback in Q4 (as we have the argument that the Fed will remain extremely cautious in withdrawing accommodation, while the ECB will stay the course or even signal more easing if inflation doesn’t pick up soon). </w:t>
            </w:r>
          </w:p>
        </w:tc>
        <w:tc>
          <w:tcPr>
            <w:tcW w:w="4788" w:type="dxa"/>
          </w:tcPr>
          <w:p w:rsidR="00453747" w:rsidRPr="00453747" w:rsidRDefault="00453747" w:rsidP="00F54961">
            <w:pPr>
              <w:rPr>
                <w:rFonts w:ascii="Times New Roman" w:hAnsi="Times New Roman" w:cs="Times New Roman"/>
                <w:sz w:val="28"/>
                <w:szCs w:val="28"/>
                <w:lang w:val="en-GB"/>
              </w:rPr>
            </w:pPr>
          </w:p>
        </w:tc>
      </w:tr>
      <w:tr w:rsidR="00453747" w:rsidRPr="00453747" w:rsidTr="00453747">
        <w:tc>
          <w:tcPr>
            <w:tcW w:w="4788" w:type="dxa"/>
          </w:tcPr>
          <w:p w:rsidR="00453747" w:rsidRPr="00453747" w:rsidRDefault="00453747" w:rsidP="00F54961">
            <w:pPr>
              <w:rPr>
                <w:rFonts w:ascii="Times New Roman" w:hAnsi="Times New Roman" w:cs="Times New Roman"/>
                <w:sz w:val="28"/>
                <w:szCs w:val="28"/>
                <w:lang w:val="en-GB"/>
              </w:rPr>
            </w:pPr>
            <w:r w:rsidRPr="00453747">
              <w:rPr>
                <w:rFonts w:ascii="Times New Roman" w:hAnsi="Times New Roman" w:cs="Times New Roman"/>
                <w:sz w:val="28"/>
                <w:szCs w:val="28"/>
                <w:lang w:val="en-GB"/>
              </w:rPr>
              <w:t>As well, while China has mobilised significant firepower to counter a rapid weakening of the yuan in the wake of its ste</w:t>
            </w:r>
            <w:r w:rsidR="00CC5DDC">
              <w:rPr>
                <w:rFonts w:ascii="Times New Roman" w:hAnsi="Times New Roman" w:cs="Times New Roman"/>
                <w:sz w:val="28"/>
                <w:szCs w:val="28"/>
                <w:lang w:val="en-GB"/>
              </w:rPr>
              <w:t>e</w:t>
            </w:r>
            <w:r w:rsidR="00210086">
              <w:rPr>
                <w:rFonts w:ascii="Times New Roman" w:hAnsi="Times New Roman" w:cs="Times New Roman"/>
                <w:sz w:val="28"/>
                <w:szCs w:val="28"/>
                <w:lang w:val="en-GB"/>
              </w:rPr>
              <w:t>p devaluation on August 11. That and</w:t>
            </w:r>
            <w:r w:rsidRPr="00453747">
              <w:rPr>
                <w:rFonts w:ascii="Times New Roman" w:hAnsi="Times New Roman" w:cs="Times New Roman"/>
                <w:sz w:val="28"/>
                <w:szCs w:val="28"/>
                <w:lang w:val="en-GB"/>
              </w:rPr>
              <w:t xml:space="preserve"> the move to a theoretical managed float regime points to a weaker currency that should see China’s currency mean reverting with its EM peers to a significant degree in coming quarters. </w:t>
            </w:r>
          </w:p>
        </w:tc>
        <w:tc>
          <w:tcPr>
            <w:tcW w:w="4788" w:type="dxa"/>
          </w:tcPr>
          <w:p w:rsidR="00453747" w:rsidRPr="00453747" w:rsidRDefault="00453747" w:rsidP="00F54961">
            <w:pPr>
              <w:rPr>
                <w:rFonts w:ascii="Times New Roman" w:hAnsi="Times New Roman" w:cs="Times New Roman"/>
                <w:sz w:val="28"/>
                <w:szCs w:val="28"/>
                <w:lang w:val="en-GB"/>
              </w:rPr>
            </w:pPr>
          </w:p>
        </w:tc>
      </w:tr>
      <w:tr w:rsidR="00453747" w:rsidRPr="00453747" w:rsidTr="00453747">
        <w:tc>
          <w:tcPr>
            <w:tcW w:w="4788" w:type="dxa"/>
          </w:tcPr>
          <w:p w:rsidR="00453747" w:rsidRPr="00453747" w:rsidRDefault="00453747" w:rsidP="00F54961">
            <w:pPr>
              <w:rPr>
                <w:rFonts w:ascii="Times New Roman" w:hAnsi="Times New Roman" w:cs="Times New Roman"/>
                <w:sz w:val="28"/>
                <w:szCs w:val="28"/>
                <w:lang w:val="en-GB"/>
              </w:rPr>
            </w:pPr>
            <w:r w:rsidRPr="00453747">
              <w:rPr>
                <w:rFonts w:ascii="Times New Roman" w:hAnsi="Times New Roman" w:cs="Times New Roman"/>
                <w:sz w:val="28"/>
                <w:szCs w:val="28"/>
                <w:lang w:val="en-GB"/>
              </w:rPr>
              <w:t>So pairing long EM trades against the euro and especially the offshore yuan (CNH) are one way to trad</w:t>
            </w:r>
            <w:r w:rsidR="00210086">
              <w:rPr>
                <w:rFonts w:ascii="Times New Roman" w:hAnsi="Times New Roman" w:cs="Times New Roman"/>
                <w:sz w:val="28"/>
                <w:szCs w:val="28"/>
                <w:lang w:val="en-GB"/>
              </w:rPr>
              <w:t xml:space="preserve">e </w:t>
            </w:r>
            <w:proofErr w:type="gramStart"/>
            <w:r w:rsidR="00210086">
              <w:rPr>
                <w:rFonts w:ascii="Times New Roman" w:hAnsi="Times New Roman" w:cs="Times New Roman"/>
                <w:sz w:val="28"/>
                <w:szCs w:val="28"/>
                <w:lang w:val="en-GB"/>
              </w:rPr>
              <w:t>an emerging</w:t>
            </w:r>
            <w:proofErr w:type="gramEnd"/>
            <w:r w:rsidR="00210086">
              <w:rPr>
                <w:rFonts w:ascii="Times New Roman" w:hAnsi="Times New Roman" w:cs="Times New Roman"/>
                <w:sz w:val="28"/>
                <w:szCs w:val="28"/>
                <w:lang w:val="en-GB"/>
              </w:rPr>
              <w:t xml:space="preserve"> market resurgence, though it could be one of relatively short duration.</w:t>
            </w:r>
            <w:bookmarkStart w:id="0" w:name="_GoBack"/>
            <w:bookmarkEnd w:id="0"/>
          </w:p>
        </w:tc>
        <w:tc>
          <w:tcPr>
            <w:tcW w:w="4788" w:type="dxa"/>
          </w:tcPr>
          <w:p w:rsidR="00453747" w:rsidRPr="00453747" w:rsidRDefault="00453747" w:rsidP="00F54961">
            <w:pPr>
              <w:rPr>
                <w:rFonts w:ascii="Times New Roman" w:hAnsi="Times New Roman" w:cs="Times New Roman"/>
                <w:sz w:val="28"/>
                <w:szCs w:val="28"/>
                <w:lang w:val="en-GB"/>
              </w:rPr>
            </w:pPr>
          </w:p>
        </w:tc>
      </w:tr>
      <w:tr w:rsidR="00453747" w:rsidRPr="00453747" w:rsidTr="00453747">
        <w:tc>
          <w:tcPr>
            <w:tcW w:w="4788" w:type="dxa"/>
          </w:tcPr>
          <w:p w:rsidR="00453747" w:rsidRPr="00453747" w:rsidRDefault="00453747" w:rsidP="00F54961">
            <w:pPr>
              <w:rPr>
                <w:rFonts w:ascii="Times New Roman" w:hAnsi="Times New Roman" w:cs="Times New Roman"/>
                <w:sz w:val="28"/>
                <w:szCs w:val="28"/>
                <w:lang w:val="en-GB"/>
              </w:rPr>
            </w:pPr>
            <w:r w:rsidRPr="00453747">
              <w:rPr>
                <w:rFonts w:ascii="Times New Roman" w:hAnsi="Times New Roman" w:cs="Times New Roman"/>
                <w:sz w:val="28"/>
                <w:szCs w:val="28"/>
                <w:lang w:val="en-GB"/>
              </w:rPr>
              <w:t>G-10 rundown for Q3</w:t>
            </w:r>
            <w:r>
              <w:rPr>
                <w:rFonts w:ascii="Times New Roman" w:hAnsi="Times New Roman" w:cs="Times New Roman"/>
                <w:sz w:val="28"/>
                <w:szCs w:val="28"/>
                <w:lang w:val="en-GB"/>
              </w:rPr>
              <w:br/>
              <w:t>TABLE 1</w:t>
            </w:r>
          </w:p>
        </w:tc>
        <w:tc>
          <w:tcPr>
            <w:tcW w:w="4788" w:type="dxa"/>
          </w:tcPr>
          <w:p w:rsidR="00453747" w:rsidRPr="00453747" w:rsidRDefault="00453747" w:rsidP="00F54961">
            <w:pPr>
              <w:rPr>
                <w:rFonts w:ascii="Times New Roman" w:hAnsi="Times New Roman" w:cs="Times New Roman"/>
                <w:sz w:val="28"/>
                <w:szCs w:val="28"/>
                <w:lang w:val="en-GB"/>
              </w:rPr>
            </w:pPr>
          </w:p>
        </w:tc>
      </w:tr>
    </w:tbl>
    <w:p w:rsidR="00453747" w:rsidRDefault="00453747">
      <w:pPr>
        <w:rPr>
          <w:rFonts w:ascii="Times New Roman" w:hAnsi="Times New Roman" w:cs="Times New Roman"/>
          <w:sz w:val="28"/>
          <w:szCs w:val="28"/>
          <w:lang w:val="en-GB"/>
        </w:rPr>
      </w:pPr>
    </w:p>
    <w:p w:rsidR="00453747" w:rsidRDefault="00453747">
      <w:pPr>
        <w:rPr>
          <w:rFonts w:ascii="Times New Roman" w:hAnsi="Times New Roman" w:cs="Times New Roman"/>
          <w:sz w:val="28"/>
          <w:szCs w:val="28"/>
          <w:lang w:val="en-GB"/>
        </w:rPr>
      </w:pPr>
    </w:p>
    <w:p w:rsidR="003914AC" w:rsidRDefault="00453747" w:rsidP="00453747">
      <w:pPr>
        <w:rPr>
          <w:rFonts w:ascii="Times New Roman" w:hAnsi="Times New Roman" w:cs="Times New Roman"/>
          <w:sz w:val="28"/>
          <w:szCs w:val="28"/>
          <w:lang w:val="en-GB"/>
        </w:rPr>
      </w:pPr>
      <w:r>
        <w:rPr>
          <w:rFonts w:ascii="Times New Roman" w:hAnsi="Times New Roman" w:cs="Times New Roman"/>
          <w:sz w:val="28"/>
          <w:szCs w:val="28"/>
          <w:lang w:val="en-GB"/>
        </w:rPr>
        <w:t>TABLE 1:</w:t>
      </w:r>
    </w:p>
    <w:tbl>
      <w:tblPr>
        <w:tblStyle w:val="TableGrid"/>
        <w:tblW w:w="0" w:type="auto"/>
        <w:tblLook w:val="04A0" w:firstRow="1" w:lastRow="0" w:firstColumn="1" w:lastColumn="0" w:noHBand="0" w:noVBand="1"/>
      </w:tblPr>
      <w:tblGrid>
        <w:gridCol w:w="1368"/>
        <w:gridCol w:w="6120"/>
      </w:tblGrid>
      <w:tr w:rsidR="00453747" w:rsidRPr="00453747" w:rsidTr="003409EB">
        <w:tc>
          <w:tcPr>
            <w:tcW w:w="1368" w:type="dxa"/>
          </w:tcPr>
          <w:p w:rsidR="00453747" w:rsidRPr="00453747" w:rsidRDefault="00453747" w:rsidP="003409EB">
            <w:pPr>
              <w:rPr>
                <w:rFonts w:ascii="Times New Roman" w:hAnsi="Times New Roman" w:cs="Times New Roman"/>
                <w:sz w:val="28"/>
                <w:szCs w:val="28"/>
                <w:lang w:val="en-GB"/>
              </w:rPr>
            </w:pPr>
            <w:r w:rsidRPr="00453747">
              <w:rPr>
                <w:rFonts w:ascii="Times New Roman" w:hAnsi="Times New Roman" w:cs="Times New Roman"/>
                <w:sz w:val="28"/>
                <w:szCs w:val="28"/>
                <w:lang w:val="en-GB"/>
              </w:rPr>
              <w:lastRenderedPageBreak/>
              <w:t>Currency</w:t>
            </w:r>
          </w:p>
        </w:tc>
        <w:tc>
          <w:tcPr>
            <w:tcW w:w="6120" w:type="dxa"/>
          </w:tcPr>
          <w:p w:rsidR="00453747" w:rsidRPr="00453747" w:rsidRDefault="00453747" w:rsidP="003409EB">
            <w:pPr>
              <w:rPr>
                <w:rFonts w:ascii="Times New Roman" w:hAnsi="Times New Roman" w:cs="Times New Roman"/>
                <w:sz w:val="28"/>
                <w:szCs w:val="28"/>
                <w:lang w:val="en-GB"/>
              </w:rPr>
            </w:pPr>
            <w:r w:rsidRPr="00453747">
              <w:rPr>
                <w:rFonts w:ascii="Times New Roman" w:hAnsi="Times New Roman" w:cs="Times New Roman"/>
                <w:sz w:val="28"/>
                <w:szCs w:val="28"/>
                <w:lang w:val="en-GB"/>
              </w:rPr>
              <w:t>Q3 outlook</w:t>
            </w:r>
          </w:p>
        </w:tc>
      </w:tr>
      <w:tr w:rsidR="00453747" w:rsidRPr="00453747" w:rsidTr="003409EB">
        <w:tc>
          <w:tcPr>
            <w:tcW w:w="1368" w:type="dxa"/>
          </w:tcPr>
          <w:p w:rsidR="00453747" w:rsidRPr="00453747" w:rsidRDefault="00453747" w:rsidP="003409EB">
            <w:pPr>
              <w:rPr>
                <w:rFonts w:ascii="Times New Roman" w:hAnsi="Times New Roman" w:cs="Times New Roman"/>
                <w:sz w:val="28"/>
                <w:szCs w:val="28"/>
                <w:lang w:val="en-GB"/>
              </w:rPr>
            </w:pPr>
            <w:r w:rsidRPr="00453747">
              <w:rPr>
                <w:rFonts w:ascii="Times New Roman" w:hAnsi="Times New Roman" w:cs="Times New Roman"/>
                <w:sz w:val="28"/>
                <w:szCs w:val="28"/>
                <w:lang w:val="en-GB"/>
              </w:rPr>
              <w:t>USD</w:t>
            </w:r>
          </w:p>
        </w:tc>
        <w:tc>
          <w:tcPr>
            <w:tcW w:w="6120" w:type="dxa"/>
          </w:tcPr>
          <w:p w:rsidR="00453747" w:rsidRPr="00453747" w:rsidRDefault="00453747" w:rsidP="00CC5DDC">
            <w:pPr>
              <w:rPr>
                <w:rFonts w:ascii="Times New Roman" w:hAnsi="Times New Roman" w:cs="Times New Roman"/>
                <w:sz w:val="28"/>
                <w:szCs w:val="28"/>
                <w:lang w:val="en-GB"/>
              </w:rPr>
            </w:pPr>
            <w:r w:rsidRPr="00453747">
              <w:rPr>
                <w:rFonts w:ascii="Times New Roman" w:hAnsi="Times New Roman" w:cs="Times New Roman"/>
                <w:sz w:val="28"/>
                <w:szCs w:val="28"/>
                <w:lang w:val="en-GB"/>
              </w:rPr>
              <w:t>USD bulls will have to wait – though strong US data could suggest</w:t>
            </w:r>
            <w:r w:rsidR="00CC5DDC">
              <w:rPr>
                <w:rFonts w:ascii="Times New Roman" w:hAnsi="Times New Roman" w:cs="Times New Roman"/>
                <w:sz w:val="28"/>
                <w:szCs w:val="28"/>
                <w:lang w:val="en-GB"/>
              </w:rPr>
              <w:t xml:space="preserve"> the</w:t>
            </w:r>
            <w:r w:rsidRPr="00453747">
              <w:rPr>
                <w:rFonts w:ascii="Times New Roman" w:hAnsi="Times New Roman" w:cs="Times New Roman"/>
                <w:sz w:val="28"/>
                <w:szCs w:val="28"/>
                <w:lang w:val="en-GB"/>
              </w:rPr>
              <w:t xml:space="preserve"> Fed risks getting behind the curve, so a mid-quarter revival in the USD’s prospects is possible.</w:t>
            </w:r>
          </w:p>
        </w:tc>
      </w:tr>
      <w:tr w:rsidR="00453747" w:rsidRPr="00453747" w:rsidTr="003409EB">
        <w:tc>
          <w:tcPr>
            <w:tcW w:w="1368" w:type="dxa"/>
          </w:tcPr>
          <w:p w:rsidR="00453747" w:rsidRPr="00453747" w:rsidRDefault="00453747" w:rsidP="003409EB">
            <w:pPr>
              <w:rPr>
                <w:rFonts w:ascii="Times New Roman" w:hAnsi="Times New Roman" w:cs="Times New Roman"/>
                <w:sz w:val="28"/>
                <w:szCs w:val="28"/>
                <w:lang w:val="en-GB"/>
              </w:rPr>
            </w:pPr>
            <w:r w:rsidRPr="00453747">
              <w:rPr>
                <w:rFonts w:ascii="Times New Roman" w:hAnsi="Times New Roman" w:cs="Times New Roman"/>
                <w:sz w:val="28"/>
                <w:szCs w:val="28"/>
                <w:lang w:val="en-GB"/>
              </w:rPr>
              <w:t>EUR</w:t>
            </w:r>
          </w:p>
        </w:tc>
        <w:tc>
          <w:tcPr>
            <w:tcW w:w="6120" w:type="dxa"/>
          </w:tcPr>
          <w:p w:rsidR="00453747" w:rsidRPr="00453747" w:rsidRDefault="00453747" w:rsidP="003409EB">
            <w:pPr>
              <w:rPr>
                <w:rFonts w:ascii="Times New Roman" w:hAnsi="Times New Roman" w:cs="Times New Roman"/>
                <w:sz w:val="28"/>
                <w:szCs w:val="28"/>
                <w:lang w:val="en-GB"/>
              </w:rPr>
            </w:pPr>
            <w:r w:rsidRPr="00453747">
              <w:rPr>
                <w:rFonts w:ascii="Times New Roman" w:hAnsi="Times New Roman" w:cs="Times New Roman"/>
                <w:sz w:val="28"/>
                <w:szCs w:val="28"/>
                <w:lang w:val="en-GB"/>
              </w:rPr>
              <w:t>Should only thrive if risk sentiment is weak – look for aggressively dovish ECB on any strong resurgence in the euro and traders may look to trade accordingly (fading strength)</w:t>
            </w:r>
          </w:p>
        </w:tc>
      </w:tr>
      <w:tr w:rsidR="00453747" w:rsidRPr="00453747" w:rsidTr="003409EB">
        <w:tc>
          <w:tcPr>
            <w:tcW w:w="1368" w:type="dxa"/>
          </w:tcPr>
          <w:p w:rsidR="00453747" w:rsidRPr="00453747" w:rsidRDefault="00453747" w:rsidP="003409EB">
            <w:pPr>
              <w:rPr>
                <w:rFonts w:ascii="Times New Roman" w:hAnsi="Times New Roman" w:cs="Times New Roman"/>
                <w:sz w:val="28"/>
                <w:szCs w:val="28"/>
                <w:lang w:val="en-GB"/>
              </w:rPr>
            </w:pPr>
            <w:r w:rsidRPr="00453747">
              <w:rPr>
                <w:rFonts w:ascii="Times New Roman" w:hAnsi="Times New Roman" w:cs="Times New Roman"/>
                <w:sz w:val="28"/>
                <w:szCs w:val="28"/>
                <w:lang w:val="en-GB"/>
              </w:rPr>
              <w:t>JPY</w:t>
            </w:r>
          </w:p>
        </w:tc>
        <w:tc>
          <w:tcPr>
            <w:tcW w:w="6120" w:type="dxa"/>
          </w:tcPr>
          <w:p w:rsidR="00453747" w:rsidRPr="00453747" w:rsidRDefault="00453747" w:rsidP="003409EB">
            <w:pPr>
              <w:rPr>
                <w:rFonts w:ascii="Times New Roman" w:hAnsi="Times New Roman" w:cs="Times New Roman"/>
                <w:sz w:val="28"/>
                <w:szCs w:val="28"/>
                <w:lang w:val="en-GB"/>
              </w:rPr>
            </w:pPr>
            <w:r w:rsidRPr="00453747">
              <w:rPr>
                <w:rFonts w:ascii="Times New Roman" w:hAnsi="Times New Roman" w:cs="Times New Roman"/>
                <w:sz w:val="28"/>
                <w:szCs w:val="28"/>
                <w:lang w:val="en-GB"/>
              </w:rPr>
              <w:t>Could t</w:t>
            </w:r>
            <w:r w:rsidR="00CC5DDC">
              <w:rPr>
                <w:rFonts w:ascii="Times New Roman" w:hAnsi="Times New Roman" w:cs="Times New Roman"/>
                <w:sz w:val="28"/>
                <w:szCs w:val="28"/>
                <w:lang w:val="en-GB"/>
              </w:rPr>
              <w:t>he Bank of Japan return to the QE trough o</w:t>
            </w:r>
            <w:r w:rsidRPr="00453747">
              <w:rPr>
                <w:rFonts w:ascii="Times New Roman" w:hAnsi="Times New Roman" w:cs="Times New Roman"/>
                <w:sz w:val="28"/>
                <w:szCs w:val="28"/>
                <w:lang w:val="en-GB"/>
              </w:rPr>
              <w:t>nce again on admission that inflation forecasts have been hopeless</w:t>
            </w:r>
            <w:r w:rsidR="00CC5DDC">
              <w:rPr>
                <w:rFonts w:ascii="Times New Roman" w:hAnsi="Times New Roman" w:cs="Times New Roman"/>
                <w:sz w:val="28"/>
                <w:szCs w:val="28"/>
                <w:lang w:val="en-GB"/>
              </w:rPr>
              <w:t>ly</w:t>
            </w:r>
            <w:r w:rsidRPr="00453747">
              <w:rPr>
                <w:rFonts w:ascii="Times New Roman" w:hAnsi="Times New Roman" w:cs="Times New Roman"/>
                <w:sz w:val="28"/>
                <w:szCs w:val="28"/>
                <w:lang w:val="en-GB"/>
              </w:rPr>
              <w:t xml:space="preserve"> optimistic and low commodities ease the risks of a weaker JPY on wages?</w:t>
            </w:r>
          </w:p>
        </w:tc>
      </w:tr>
      <w:tr w:rsidR="00453747" w:rsidRPr="00453747" w:rsidTr="003409EB">
        <w:tc>
          <w:tcPr>
            <w:tcW w:w="1368" w:type="dxa"/>
          </w:tcPr>
          <w:p w:rsidR="00453747" w:rsidRPr="00453747" w:rsidRDefault="00453747" w:rsidP="003409EB">
            <w:pPr>
              <w:rPr>
                <w:rFonts w:ascii="Times New Roman" w:hAnsi="Times New Roman" w:cs="Times New Roman"/>
                <w:sz w:val="28"/>
                <w:szCs w:val="28"/>
                <w:lang w:val="en-GB"/>
              </w:rPr>
            </w:pPr>
            <w:r w:rsidRPr="00453747">
              <w:rPr>
                <w:rFonts w:ascii="Times New Roman" w:hAnsi="Times New Roman" w:cs="Times New Roman"/>
                <w:sz w:val="28"/>
                <w:szCs w:val="28"/>
                <w:lang w:val="en-GB"/>
              </w:rPr>
              <w:t>GBP</w:t>
            </w:r>
          </w:p>
        </w:tc>
        <w:tc>
          <w:tcPr>
            <w:tcW w:w="6120" w:type="dxa"/>
          </w:tcPr>
          <w:p w:rsidR="00453747" w:rsidRPr="00453747" w:rsidRDefault="00453747" w:rsidP="003409EB">
            <w:pPr>
              <w:rPr>
                <w:rFonts w:ascii="Times New Roman" w:hAnsi="Times New Roman" w:cs="Times New Roman"/>
                <w:sz w:val="28"/>
                <w:szCs w:val="28"/>
                <w:lang w:val="en-GB"/>
              </w:rPr>
            </w:pPr>
            <w:r w:rsidRPr="00453747">
              <w:rPr>
                <w:rFonts w:ascii="Times New Roman" w:hAnsi="Times New Roman" w:cs="Times New Roman"/>
                <w:sz w:val="28"/>
                <w:szCs w:val="28"/>
                <w:lang w:val="en-GB"/>
              </w:rPr>
              <w:t>Defaulting to a “low beta version of the USD” outlook – more downside than upside potential in GBPUSD as</w:t>
            </w:r>
            <w:r w:rsidR="00CC5DDC">
              <w:rPr>
                <w:rFonts w:ascii="Times New Roman" w:hAnsi="Times New Roman" w:cs="Times New Roman"/>
                <w:sz w:val="28"/>
                <w:szCs w:val="28"/>
                <w:lang w:val="en-GB"/>
              </w:rPr>
              <w:t xml:space="preserve"> the</w:t>
            </w:r>
            <w:r w:rsidRPr="00453747">
              <w:rPr>
                <w:rFonts w:ascii="Times New Roman" w:hAnsi="Times New Roman" w:cs="Times New Roman"/>
                <w:sz w:val="28"/>
                <w:szCs w:val="28"/>
                <w:lang w:val="en-GB"/>
              </w:rPr>
              <w:t xml:space="preserve"> quarter wears on.</w:t>
            </w:r>
          </w:p>
        </w:tc>
      </w:tr>
      <w:tr w:rsidR="00453747" w:rsidRPr="00453747" w:rsidTr="003409EB">
        <w:tc>
          <w:tcPr>
            <w:tcW w:w="1368" w:type="dxa"/>
          </w:tcPr>
          <w:p w:rsidR="00453747" w:rsidRPr="00453747" w:rsidRDefault="00453747" w:rsidP="003409EB">
            <w:pPr>
              <w:rPr>
                <w:rFonts w:ascii="Times New Roman" w:hAnsi="Times New Roman" w:cs="Times New Roman"/>
                <w:sz w:val="28"/>
                <w:szCs w:val="28"/>
                <w:lang w:val="en-GB"/>
              </w:rPr>
            </w:pPr>
            <w:r w:rsidRPr="00453747">
              <w:rPr>
                <w:rFonts w:ascii="Times New Roman" w:hAnsi="Times New Roman" w:cs="Times New Roman"/>
                <w:sz w:val="28"/>
                <w:szCs w:val="28"/>
                <w:lang w:val="en-GB"/>
              </w:rPr>
              <w:t>CHF</w:t>
            </w:r>
          </w:p>
        </w:tc>
        <w:tc>
          <w:tcPr>
            <w:tcW w:w="6120" w:type="dxa"/>
          </w:tcPr>
          <w:p w:rsidR="00453747" w:rsidRPr="00453747" w:rsidRDefault="00453747" w:rsidP="003409EB">
            <w:pPr>
              <w:rPr>
                <w:rFonts w:ascii="Times New Roman" w:hAnsi="Times New Roman" w:cs="Times New Roman"/>
                <w:sz w:val="28"/>
                <w:szCs w:val="28"/>
                <w:lang w:val="en-GB"/>
              </w:rPr>
            </w:pPr>
            <w:r w:rsidRPr="00453747">
              <w:rPr>
                <w:rFonts w:ascii="Times New Roman" w:hAnsi="Times New Roman" w:cs="Times New Roman"/>
                <w:sz w:val="28"/>
                <w:szCs w:val="28"/>
                <w:lang w:val="en-GB"/>
              </w:rPr>
              <w:t xml:space="preserve">The Q3 experience proved that CHF </w:t>
            </w:r>
            <w:r w:rsidR="00CC5DDC">
              <w:rPr>
                <w:rFonts w:ascii="Times New Roman" w:hAnsi="Times New Roman" w:cs="Times New Roman"/>
                <w:sz w:val="28"/>
                <w:szCs w:val="28"/>
                <w:lang w:val="en-GB"/>
              </w:rPr>
              <w:t xml:space="preserve">is </w:t>
            </w:r>
            <w:r w:rsidRPr="00453747">
              <w:rPr>
                <w:rFonts w:ascii="Times New Roman" w:hAnsi="Times New Roman" w:cs="Times New Roman"/>
                <w:sz w:val="28"/>
                <w:szCs w:val="28"/>
                <w:lang w:val="en-GB"/>
              </w:rPr>
              <w:t>no longer a safe haven – expecting further weakness against both EUR and eventually against the USD.</w:t>
            </w:r>
          </w:p>
        </w:tc>
      </w:tr>
      <w:tr w:rsidR="00453747" w:rsidRPr="00453747" w:rsidTr="003409EB">
        <w:tc>
          <w:tcPr>
            <w:tcW w:w="1368" w:type="dxa"/>
          </w:tcPr>
          <w:p w:rsidR="00453747" w:rsidRPr="00453747" w:rsidRDefault="00453747" w:rsidP="003409EB">
            <w:pPr>
              <w:rPr>
                <w:rFonts w:ascii="Times New Roman" w:hAnsi="Times New Roman" w:cs="Times New Roman"/>
                <w:sz w:val="28"/>
                <w:szCs w:val="28"/>
                <w:lang w:val="en-GB"/>
              </w:rPr>
            </w:pPr>
            <w:r w:rsidRPr="00453747">
              <w:rPr>
                <w:rFonts w:ascii="Times New Roman" w:hAnsi="Times New Roman" w:cs="Times New Roman"/>
                <w:sz w:val="28"/>
                <w:szCs w:val="28"/>
                <w:lang w:val="en-GB"/>
              </w:rPr>
              <w:t>AUD</w:t>
            </w:r>
          </w:p>
        </w:tc>
        <w:tc>
          <w:tcPr>
            <w:tcW w:w="6120" w:type="dxa"/>
          </w:tcPr>
          <w:p w:rsidR="00453747" w:rsidRPr="00453747" w:rsidRDefault="00453747" w:rsidP="003409EB">
            <w:pPr>
              <w:rPr>
                <w:rFonts w:ascii="Times New Roman" w:hAnsi="Times New Roman" w:cs="Times New Roman"/>
                <w:sz w:val="28"/>
                <w:szCs w:val="28"/>
                <w:lang w:val="en-GB"/>
              </w:rPr>
            </w:pPr>
            <w:r w:rsidRPr="00453747">
              <w:rPr>
                <w:rFonts w:ascii="Times New Roman" w:hAnsi="Times New Roman" w:cs="Times New Roman"/>
                <w:sz w:val="28"/>
                <w:szCs w:val="28"/>
                <w:lang w:val="en-GB"/>
              </w:rPr>
              <w:t>Exposure to China likely to remain a focus, so expect a relatively low ceiling for any rally attempts.</w:t>
            </w:r>
          </w:p>
        </w:tc>
      </w:tr>
      <w:tr w:rsidR="00453747" w:rsidRPr="00453747" w:rsidTr="003409EB">
        <w:tc>
          <w:tcPr>
            <w:tcW w:w="1368" w:type="dxa"/>
          </w:tcPr>
          <w:p w:rsidR="00453747" w:rsidRPr="00453747" w:rsidRDefault="00453747" w:rsidP="003409EB">
            <w:pPr>
              <w:rPr>
                <w:rFonts w:ascii="Times New Roman" w:hAnsi="Times New Roman" w:cs="Times New Roman"/>
                <w:sz w:val="28"/>
                <w:szCs w:val="28"/>
                <w:lang w:val="en-GB"/>
              </w:rPr>
            </w:pPr>
            <w:r w:rsidRPr="00453747">
              <w:rPr>
                <w:rFonts w:ascii="Times New Roman" w:hAnsi="Times New Roman" w:cs="Times New Roman"/>
                <w:sz w:val="28"/>
                <w:szCs w:val="28"/>
                <w:lang w:val="en-GB"/>
              </w:rPr>
              <w:t>CAD</w:t>
            </w:r>
          </w:p>
        </w:tc>
        <w:tc>
          <w:tcPr>
            <w:tcW w:w="6120" w:type="dxa"/>
          </w:tcPr>
          <w:p w:rsidR="00453747" w:rsidRPr="00453747" w:rsidRDefault="00453747" w:rsidP="003409EB">
            <w:pPr>
              <w:rPr>
                <w:rFonts w:ascii="Times New Roman" w:hAnsi="Times New Roman" w:cs="Times New Roman"/>
                <w:sz w:val="28"/>
                <w:szCs w:val="28"/>
                <w:lang w:val="en-GB"/>
              </w:rPr>
            </w:pPr>
            <w:r w:rsidRPr="00453747">
              <w:rPr>
                <w:rFonts w:ascii="Times New Roman" w:hAnsi="Times New Roman" w:cs="Times New Roman"/>
                <w:sz w:val="28"/>
                <w:szCs w:val="28"/>
                <w:lang w:val="en-GB"/>
              </w:rPr>
              <w:t>Canada will hope that the US economic resurgence is sufficiently strong to keep Canada’s recession risk at b</w:t>
            </w:r>
            <w:r w:rsidR="00CC5DDC">
              <w:rPr>
                <w:rFonts w:ascii="Times New Roman" w:hAnsi="Times New Roman" w:cs="Times New Roman"/>
                <w:sz w:val="28"/>
                <w:szCs w:val="28"/>
                <w:lang w:val="en-GB"/>
              </w:rPr>
              <w:t>a</w:t>
            </w:r>
            <w:r w:rsidRPr="00453747">
              <w:rPr>
                <w:rFonts w:ascii="Times New Roman" w:hAnsi="Times New Roman" w:cs="Times New Roman"/>
                <w:sz w:val="28"/>
                <w:szCs w:val="28"/>
                <w:lang w:val="en-GB"/>
              </w:rPr>
              <w:t>y. Looking for outperformance among the commodity dollars.</w:t>
            </w:r>
          </w:p>
        </w:tc>
      </w:tr>
      <w:tr w:rsidR="00453747" w:rsidRPr="00453747" w:rsidTr="003409EB">
        <w:tc>
          <w:tcPr>
            <w:tcW w:w="1368" w:type="dxa"/>
          </w:tcPr>
          <w:p w:rsidR="00453747" w:rsidRPr="00453747" w:rsidRDefault="00453747" w:rsidP="003409EB">
            <w:pPr>
              <w:rPr>
                <w:rFonts w:ascii="Times New Roman" w:hAnsi="Times New Roman" w:cs="Times New Roman"/>
                <w:sz w:val="28"/>
                <w:szCs w:val="28"/>
                <w:lang w:val="en-GB"/>
              </w:rPr>
            </w:pPr>
            <w:r w:rsidRPr="00453747">
              <w:rPr>
                <w:rFonts w:ascii="Times New Roman" w:hAnsi="Times New Roman" w:cs="Times New Roman"/>
                <w:sz w:val="28"/>
                <w:szCs w:val="28"/>
                <w:lang w:val="en-GB"/>
              </w:rPr>
              <w:t>NZD</w:t>
            </w:r>
          </w:p>
        </w:tc>
        <w:tc>
          <w:tcPr>
            <w:tcW w:w="6120" w:type="dxa"/>
          </w:tcPr>
          <w:p w:rsidR="00453747" w:rsidRPr="00453747" w:rsidRDefault="00453747" w:rsidP="003409EB">
            <w:pPr>
              <w:rPr>
                <w:rFonts w:ascii="Times New Roman" w:hAnsi="Times New Roman" w:cs="Times New Roman"/>
                <w:sz w:val="28"/>
                <w:szCs w:val="28"/>
                <w:lang w:val="en-GB"/>
              </w:rPr>
            </w:pPr>
            <w:r w:rsidRPr="00453747">
              <w:rPr>
                <w:rFonts w:ascii="Times New Roman" w:hAnsi="Times New Roman" w:cs="Times New Roman"/>
                <w:sz w:val="28"/>
                <w:szCs w:val="28"/>
                <w:lang w:val="en-GB"/>
              </w:rPr>
              <w:t>More downside risks ahead as rates have pushed to new lows for the cycle and the previous years of NZD strength have only been partially unwound.</w:t>
            </w:r>
          </w:p>
        </w:tc>
      </w:tr>
      <w:tr w:rsidR="00453747" w:rsidRPr="00453747" w:rsidTr="003409EB">
        <w:tc>
          <w:tcPr>
            <w:tcW w:w="1368" w:type="dxa"/>
          </w:tcPr>
          <w:p w:rsidR="00453747" w:rsidRPr="00453747" w:rsidRDefault="00453747" w:rsidP="003409EB">
            <w:pPr>
              <w:rPr>
                <w:rFonts w:ascii="Times New Roman" w:hAnsi="Times New Roman" w:cs="Times New Roman"/>
                <w:sz w:val="28"/>
                <w:szCs w:val="28"/>
                <w:lang w:val="en-GB"/>
              </w:rPr>
            </w:pPr>
            <w:r w:rsidRPr="00453747">
              <w:rPr>
                <w:rFonts w:ascii="Times New Roman" w:hAnsi="Times New Roman" w:cs="Times New Roman"/>
                <w:sz w:val="28"/>
                <w:szCs w:val="28"/>
                <w:lang w:val="en-GB"/>
              </w:rPr>
              <w:t>SEK</w:t>
            </w:r>
          </w:p>
        </w:tc>
        <w:tc>
          <w:tcPr>
            <w:tcW w:w="6120" w:type="dxa"/>
          </w:tcPr>
          <w:p w:rsidR="00453747" w:rsidRPr="00453747" w:rsidRDefault="00453747" w:rsidP="00CC5DDC">
            <w:pPr>
              <w:rPr>
                <w:rFonts w:ascii="Times New Roman" w:hAnsi="Times New Roman" w:cs="Times New Roman"/>
                <w:sz w:val="28"/>
                <w:szCs w:val="28"/>
                <w:lang w:val="en-GB"/>
              </w:rPr>
            </w:pPr>
            <w:r w:rsidRPr="00453747">
              <w:rPr>
                <w:rFonts w:ascii="Times New Roman" w:hAnsi="Times New Roman" w:cs="Times New Roman"/>
                <w:sz w:val="28"/>
                <w:szCs w:val="28"/>
                <w:lang w:val="en-GB"/>
              </w:rPr>
              <w:t xml:space="preserve">Double top in EURSEK as SEK made a comeback from the lows, but any further SEK strengthening will be leaned </w:t>
            </w:r>
            <w:r w:rsidR="00CC5DDC">
              <w:rPr>
                <w:rFonts w:ascii="Times New Roman" w:hAnsi="Times New Roman" w:cs="Times New Roman"/>
                <w:sz w:val="28"/>
                <w:szCs w:val="28"/>
                <w:lang w:val="en-GB"/>
              </w:rPr>
              <w:t>on</w:t>
            </w:r>
            <w:r w:rsidRPr="00453747">
              <w:rPr>
                <w:rFonts w:ascii="Times New Roman" w:hAnsi="Times New Roman" w:cs="Times New Roman"/>
                <w:sz w:val="28"/>
                <w:szCs w:val="28"/>
                <w:lang w:val="en-GB"/>
              </w:rPr>
              <w:t xml:space="preserve"> by the </w:t>
            </w:r>
            <w:proofErr w:type="spellStart"/>
            <w:r w:rsidRPr="00453747">
              <w:rPr>
                <w:rFonts w:ascii="Times New Roman" w:hAnsi="Times New Roman" w:cs="Times New Roman"/>
                <w:sz w:val="28"/>
                <w:szCs w:val="28"/>
                <w:lang w:val="en-GB"/>
              </w:rPr>
              <w:t>Riksbank</w:t>
            </w:r>
            <w:proofErr w:type="spellEnd"/>
            <w:r w:rsidRPr="00453747">
              <w:rPr>
                <w:rFonts w:ascii="Times New Roman" w:hAnsi="Times New Roman" w:cs="Times New Roman"/>
                <w:sz w:val="28"/>
                <w:szCs w:val="28"/>
                <w:lang w:val="en-GB"/>
              </w:rPr>
              <w:t>, so no fireworks expected.</w:t>
            </w:r>
          </w:p>
        </w:tc>
      </w:tr>
      <w:tr w:rsidR="00453747" w:rsidRPr="00453747" w:rsidTr="003409EB">
        <w:tc>
          <w:tcPr>
            <w:tcW w:w="1368" w:type="dxa"/>
          </w:tcPr>
          <w:p w:rsidR="00453747" w:rsidRPr="00453747" w:rsidRDefault="00453747" w:rsidP="003409EB">
            <w:pPr>
              <w:rPr>
                <w:rFonts w:ascii="Times New Roman" w:hAnsi="Times New Roman" w:cs="Times New Roman"/>
                <w:sz w:val="28"/>
                <w:szCs w:val="28"/>
                <w:lang w:val="en-GB"/>
              </w:rPr>
            </w:pPr>
            <w:r w:rsidRPr="00453747">
              <w:rPr>
                <w:rFonts w:ascii="Times New Roman" w:hAnsi="Times New Roman" w:cs="Times New Roman"/>
                <w:sz w:val="28"/>
                <w:szCs w:val="28"/>
                <w:lang w:val="en-GB"/>
              </w:rPr>
              <w:t>NOK</w:t>
            </w:r>
          </w:p>
        </w:tc>
        <w:tc>
          <w:tcPr>
            <w:tcW w:w="6120" w:type="dxa"/>
          </w:tcPr>
          <w:p w:rsidR="00453747" w:rsidRPr="00453747" w:rsidRDefault="00453747" w:rsidP="00CC5DDC">
            <w:pPr>
              <w:rPr>
                <w:rFonts w:ascii="Times New Roman" w:hAnsi="Times New Roman" w:cs="Times New Roman"/>
                <w:sz w:val="28"/>
                <w:szCs w:val="28"/>
                <w:lang w:val="en-GB"/>
              </w:rPr>
            </w:pPr>
            <w:r w:rsidRPr="00453747">
              <w:rPr>
                <w:rFonts w:ascii="Times New Roman" w:hAnsi="Times New Roman" w:cs="Times New Roman"/>
                <w:sz w:val="28"/>
                <w:szCs w:val="28"/>
                <w:lang w:val="en-GB"/>
              </w:rPr>
              <w:t xml:space="preserve">Has been excessively beaten down in places – especially against commodity currency peers, but comeback process could prove slow as oil </w:t>
            </w:r>
            <w:r w:rsidR="00CC5DDC">
              <w:rPr>
                <w:rFonts w:ascii="Times New Roman" w:hAnsi="Times New Roman" w:cs="Times New Roman"/>
                <w:sz w:val="28"/>
                <w:szCs w:val="28"/>
                <w:lang w:val="en-GB"/>
              </w:rPr>
              <w:t xml:space="preserve">is </w:t>
            </w:r>
            <w:r w:rsidRPr="00453747">
              <w:rPr>
                <w:rFonts w:ascii="Times New Roman" w:hAnsi="Times New Roman" w:cs="Times New Roman"/>
                <w:sz w:val="28"/>
                <w:szCs w:val="28"/>
                <w:lang w:val="en-GB"/>
              </w:rPr>
              <w:t xml:space="preserve">unlikely to launch </w:t>
            </w:r>
            <w:r w:rsidR="00CC5DDC">
              <w:rPr>
                <w:rFonts w:ascii="Times New Roman" w:hAnsi="Times New Roman" w:cs="Times New Roman"/>
                <w:sz w:val="28"/>
                <w:szCs w:val="28"/>
                <w:lang w:val="en-GB"/>
              </w:rPr>
              <w:t xml:space="preserve">a </w:t>
            </w:r>
            <w:r w:rsidRPr="00453747">
              <w:rPr>
                <w:rFonts w:ascii="Times New Roman" w:hAnsi="Times New Roman" w:cs="Times New Roman"/>
                <w:sz w:val="28"/>
                <w:szCs w:val="28"/>
                <w:lang w:val="en-GB"/>
              </w:rPr>
              <w:t xml:space="preserve">major new rally unless </w:t>
            </w:r>
            <w:r w:rsidR="00CC5DDC">
              <w:rPr>
                <w:rFonts w:ascii="Times New Roman" w:hAnsi="Times New Roman" w:cs="Times New Roman"/>
                <w:sz w:val="28"/>
                <w:szCs w:val="28"/>
                <w:lang w:val="en-GB"/>
              </w:rPr>
              <w:t xml:space="preserve">there is </w:t>
            </w:r>
            <w:proofErr w:type="gramStart"/>
            <w:r w:rsidR="00CC5DDC">
              <w:rPr>
                <w:rFonts w:ascii="Times New Roman" w:hAnsi="Times New Roman" w:cs="Times New Roman"/>
                <w:sz w:val="28"/>
                <w:szCs w:val="28"/>
                <w:lang w:val="en-GB"/>
              </w:rPr>
              <w:t xml:space="preserve">an </w:t>
            </w:r>
            <w:r w:rsidRPr="00453747">
              <w:rPr>
                <w:rFonts w:ascii="Times New Roman" w:hAnsi="Times New Roman" w:cs="Times New Roman"/>
                <w:sz w:val="28"/>
                <w:szCs w:val="28"/>
                <w:lang w:val="en-GB"/>
              </w:rPr>
              <w:t xml:space="preserve"> unanticipated</w:t>
            </w:r>
            <w:proofErr w:type="gramEnd"/>
            <w:r w:rsidRPr="00453747">
              <w:rPr>
                <w:rFonts w:ascii="Times New Roman" w:hAnsi="Times New Roman" w:cs="Times New Roman"/>
                <w:sz w:val="28"/>
                <w:szCs w:val="28"/>
                <w:lang w:val="en-GB"/>
              </w:rPr>
              <w:t xml:space="preserve"> geopolitical disruption.</w:t>
            </w:r>
          </w:p>
        </w:tc>
      </w:tr>
    </w:tbl>
    <w:p w:rsidR="00453747" w:rsidRPr="00453747" w:rsidRDefault="00453747" w:rsidP="00453747">
      <w:pPr>
        <w:rPr>
          <w:rFonts w:ascii="Times New Roman" w:hAnsi="Times New Roman" w:cs="Times New Roman"/>
          <w:sz w:val="28"/>
          <w:szCs w:val="28"/>
        </w:rPr>
      </w:pPr>
    </w:p>
    <w:sectPr w:rsidR="00453747" w:rsidRPr="004537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ocumentProtection w:edit="trackedChanges"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43C"/>
    <w:rsid w:val="00015219"/>
    <w:rsid w:val="0006568F"/>
    <w:rsid w:val="00210086"/>
    <w:rsid w:val="00347F15"/>
    <w:rsid w:val="00371BDD"/>
    <w:rsid w:val="003914AC"/>
    <w:rsid w:val="003F0929"/>
    <w:rsid w:val="00453747"/>
    <w:rsid w:val="004C76F1"/>
    <w:rsid w:val="00542ED8"/>
    <w:rsid w:val="005E5A95"/>
    <w:rsid w:val="006A2179"/>
    <w:rsid w:val="00721E66"/>
    <w:rsid w:val="007D6CD5"/>
    <w:rsid w:val="00813B86"/>
    <w:rsid w:val="009767A3"/>
    <w:rsid w:val="009D4621"/>
    <w:rsid w:val="00A1143C"/>
    <w:rsid w:val="00A743E4"/>
    <w:rsid w:val="00CC5DDC"/>
    <w:rsid w:val="00D314C8"/>
    <w:rsid w:val="00E712A8"/>
    <w:rsid w:val="00E85DC6"/>
    <w:rsid w:val="00ED4F1C"/>
    <w:rsid w:val="00F3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1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1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Saxo Bank A/S</Company>
  <LinksUpToDate>false</LinksUpToDate>
  <CharactersWithSpaces>8565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J. Hardy (JJH)</dc:creator>
  <cp:lastModifiedBy>Martin O'Rourke (MO)</cp:lastModifiedBy>
  <cp:revision>8</cp:revision>
  <dcterms:created xsi:type="dcterms:W3CDTF">2015-09-22T09:13:00Z</dcterms:created>
  <dcterms:modified xsi:type="dcterms:W3CDTF">2015-09-28T12:41:00Z</dcterms:modified>
</cp:coreProperties>
</file>