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A2BF" w14:textId="77777777" w:rsidR="00C56DA8" w:rsidRDefault="00C56DA8">
      <w:pPr>
        <w:ind w:firstLine="750"/>
        <w:jc w:val="center"/>
        <w:rPr>
          <w:rStyle w:val="a"/>
        </w:rPr>
      </w:pPr>
    </w:p>
    <w:p w14:paraId="73BE75EA" w14:textId="77777777" w:rsidR="00C56DA8" w:rsidRDefault="00C56DA8">
      <w:pPr>
        <w:ind w:firstLine="750"/>
        <w:jc w:val="center"/>
        <w:rPr>
          <w:rStyle w:val="a"/>
        </w:rPr>
      </w:pPr>
    </w:p>
    <w:p w14:paraId="6CBE8DDD" w14:textId="77777777" w:rsidR="00C56DA8" w:rsidRDefault="00C56DA8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>
        <w:rPr>
          <w:b/>
          <w:bCs/>
          <w:sz w:val="52"/>
        </w:rPr>
        <w:pict w14:anchorId="72572B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75pt;height:64.15pt;mso-position-horizontal-relative:page;mso-position-vertical-relative:page">
            <v:imagedata r:id="rId7" o:title="工业大学1" embosscolor="white"/>
          </v:shape>
        </w:pict>
      </w:r>
    </w:p>
    <w:p w14:paraId="65553ADD" w14:textId="77777777" w:rsidR="00C56DA8" w:rsidRDefault="00C56DA8">
      <w:pPr>
        <w:ind w:firstLine="750"/>
        <w:jc w:val="center"/>
        <w:rPr>
          <w:sz w:val="52"/>
        </w:rPr>
      </w:pPr>
      <w:r>
        <w:rPr>
          <w:sz w:val="52"/>
        </w:rPr>
        <w:t>计算机与信息学院</w:t>
      </w:r>
    </w:p>
    <w:p w14:paraId="11C01990" w14:textId="77777777" w:rsidR="00C56DA8" w:rsidRDefault="00C56DA8">
      <w:pPr>
        <w:spacing w:after="0"/>
        <w:jc w:val="center"/>
        <w:rPr>
          <w:sz w:val="68"/>
          <w:szCs w:val="68"/>
        </w:rPr>
      </w:pPr>
      <w:r>
        <w:rPr>
          <w:sz w:val="68"/>
          <w:szCs w:val="68"/>
          <w:u w:val="none"/>
        </w:rPr>
        <w:t>智能应用系统设计</w:t>
      </w:r>
      <w:r>
        <w:rPr>
          <w:sz w:val="68"/>
          <w:szCs w:val="68"/>
          <w:u w:val="none"/>
        </w:rPr>
        <w:t>报告</w:t>
      </w:r>
    </w:p>
    <w:p w14:paraId="11A164A9" w14:textId="77777777" w:rsidR="00C56DA8" w:rsidRDefault="00C56DA8">
      <w:pPr>
        <w:keepNext w:val="0"/>
        <w:keepLines/>
        <w:widowControl/>
        <w:spacing w:before="0" w:after="80" w:line="300" w:lineRule="auto"/>
        <w:ind w:firstLine="0"/>
        <w:jc w:val="center"/>
        <w:rPr>
          <w:rFonts w:hint="eastAsia"/>
          <w:sz w:val="84"/>
        </w:rPr>
      </w:pPr>
      <w:r>
        <w:rPr>
          <w:rFonts w:ascii="Times New Roman" w:hAnsi="Times New Roman" w:eastAsia="宋体"/>
          <w:b/>
          <w:color w:val="000000"/>
          <w:sz w:val="32"/>
        </w:rPr>
        <w:t>基于机器学习的智能投资顾问系统</w:t>
      </w:r>
    </w:p>
    <w:p w14:paraId="779F5579" w14:textId="77777777" w:rsidR="00C56DA8" w:rsidRDefault="00C56DA8">
      <w:pPr>
        <w:rPr>
          <w:sz w:val="84"/>
        </w:rPr>
      </w:pPr>
    </w:p>
    <w:p w14:paraId="369EF7FF" w14:textId="77777777" w:rsidR="00C56DA8" w:rsidRDefault="00C56DA8">
      <w:pPr>
        <w:ind w:firstLine="750"/>
        <w:rPr>
          <w:rStyle w:val="a"/>
        </w:rPr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520"/>
        <w:gridCol w:w="5072"/>
      </w:tblGrid>
      <w:tr w:rsidR="00000000" w14:paraId="19AD78F9" w14:textId="77777777">
        <w:trPr>
          <w:trHeight w:val="794"/>
        </w:trPr>
        <w:tc>
          <w:tcPr>
            <w:tcW w:w="2520" w:type="dxa"/>
            <w:vAlign w:val="center"/>
          </w:tcPr>
          <w:p w14:paraId="0B9CC0FD" w14:textId="77777777" w:rsidR="00C56DA8" w:rsidRDefault="00C56DA8">
            <w:pPr>
              <w:jc w:val="distribute"/>
              <w:rPr>
                <w:rStyle w:val="a"/>
              </w:rPr>
            </w:pPr>
            <w:r>
              <w:rPr>
                <w:sz w:val="30"/>
              </w:rPr>
              <w:t>专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业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班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级</w:t>
            </w:r>
          </w:p>
        </w:tc>
        <w:tc>
          <w:tcPr>
            <w:tcW w:w="5072" w:type="dxa"/>
            <w:vAlign w:val="center"/>
          </w:tcPr>
          <w:p w14:paraId="17A46B1A" w14:textId="77777777" w:rsidR="00C56DA8" w:rsidRDefault="00C56DA8">
            <w:pPr>
              <w:spacing w:beforeLines="100" w:before="312"/>
              <w:rPr>
                <w:sz w:val="28"/>
                <w:szCs w:val="28"/>
                <w:u w:val="single"/>
              </w:rPr>
            </w:pP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                                      </w:t>
            </w:r>
          </w:p>
        </w:tc>
      </w:tr>
      <w:tr w:rsidR="00000000" w14:paraId="71F1560C" w14:textId="77777777">
        <w:trPr>
          <w:trHeight w:val="794"/>
        </w:trPr>
        <w:tc>
          <w:tcPr>
            <w:tcW w:w="2520" w:type="dxa"/>
            <w:vAlign w:val="center"/>
          </w:tcPr>
          <w:p w14:paraId="2F06A899" w14:textId="77777777" w:rsidR="00C56DA8" w:rsidRDefault="00C56DA8">
            <w:pPr>
              <w:jc w:val="distribute"/>
              <w:rPr>
                <w:rStyle w:val="a"/>
              </w:rPr>
            </w:pPr>
            <w:r>
              <w:rPr>
                <w:sz w:val="30"/>
              </w:rPr>
              <w:t>姓名及学号</w:t>
            </w:r>
          </w:p>
        </w:tc>
        <w:tc>
          <w:tcPr>
            <w:tcW w:w="5072" w:type="dxa"/>
            <w:vAlign w:val="center"/>
          </w:tcPr>
          <w:p w14:paraId="2D7EBBA4" w14:textId="77777777" w:rsidR="00C56DA8" w:rsidRDefault="00C56DA8">
            <w:pPr>
              <w:spacing w:beforeLines="100" w:before="312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                    </w:t>
            </w:r>
          </w:p>
        </w:tc>
      </w:tr>
      <w:tr w:rsidR="00000000" w14:paraId="37F4E054" w14:textId="77777777">
        <w:trPr>
          <w:trHeight w:val="794"/>
        </w:trPr>
        <w:tc>
          <w:tcPr>
            <w:tcW w:w="2520" w:type="dxa"/>
            <w:vAlign w:val="center"/>
          </w:tcPr>
          <w:p w14:paraId="527EF189" w14:textId="77777777" w:rsidR="00C56DA8" w:rsidRDefault="00C56DA8">
            <w:pPr>
              <w:jc w:val="distribute"/>
              <w:rPr>
                <w:rStyle w:val="a"/>
              </w:rPr>
            </w:pPr>
            <w:r>
              <w:rPr>
                <w:sz w:val="30"/>
              </w:rPr>
              <w:t>课程教学班号</w:t>
            </w:r>
          </w:p>
        </w:tc>
        <w:tc>
          <w:tcPr>
            <w:tcW w:w="5072" w:type="dxa"/>
            <w:vAlign w:val="center"/>
          </w:tcPr>
          <w:p w14:paraId="6B04F340" w14:textId="77777777" w:rsidR="00C56DA8" w:rsidRDefault="00C56DA8">
            <w:pPr>
              <w:spacing w:beforeLines="100" w:before="312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                    </w:t>
            </w:r>
          </w:p>
        </w:tc>
      </w:tr>
      <w:tr w:rsidR="00000000" w14:paraId="57D008EF" w14:textId="77777777">
        <w:trPr>
          <w:trHeight w:val="794"/>
        </w:trPr>
        <w:tc>
          <w:tcPr>
            <w:tcW w:w="2520" w:type="dxa"/>
            <w:vAlign w:val="center"/>
          </w:tcPr>
          <w:p w14:paraId="484EB694" w14:textId="77777777" w:rsidR="00C56DA8" w:rsidRDefault="00C56DA8">
            <w:pPr>
              <w:jc w:val="distribute"/>
              <w:rPr>
                <w:rStyle w:val="a"/>
              </w:rPr>
            </w:pPr>
            <w:r>
              <w:rPr>
                <w:sz w:val="30"/>
              </w:rPr>
              <w:t>任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课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教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师</w:t>
            </w:r>
          </w:p>
        </w:tc>
        <w:tc>
          <w:tcPr>
            <w:tcW w:w="5072" w:type="dxa"/>
            <w:vAlign w:val="center"/>
          </w:tcPr>
          <w:p w14:paraId="0EBF3139" w14:textId="77777777" w:rsidR="00C56DA8" w:rsidRDefault="00C56DA8">
            <w:pPr>
              <w:spacing w:beforeLines="100" w:before="312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                   </w:t>
            </w:r>
          </w:p>
        </w:tc>
      </w:tr>
      <w:tr w:rsidR="00000000" w14:paraId="1F36CB34" w14:textId="77777777">
        <w:trPr>
          <w:trHeight w:val="794"/>
        </w:trPr>
        <w:tc>
          <w:tcPr>
            <w:tcW w:w="7592" w:type="dxa"/>
            <w:gridSpan w:val="2"/>
          </w:tcPr>
          <w:p w14:paraId="62F39FA0" w14:textId="77777777" w:rsidR="00C56DA8" w:rsidRDefault="00C56DA8">
            <w:pPr>
              <w:rPr>
                <w:rFonts w:hint="eastAsia"/>
                <w:sz w:val="30"/>
              </w:rPr>
            </w:pPr>
          </w:p>
          <w:p w14:paraId="373F9F0F" w14:textId="77777777" w:rsidR="00C56DA8" w:rsidRDefault="00C56DA8">
            <w:pPr>
              <w:jc w:val="center"/>
              <w:rPr>
                <w:rFonts w:hint="eastAsia"/>
                <w:sz w:val="30"/>
              </w:rPr>
            </w:pPr>
          </w:p>
          <w:p w14:paraId="1EC5C570" w14:textId="77777777" w:rsidR="00C56DA8" w:rsidRDefault="00C56DA8">
            <w:pPr>
              <w:jc w:val="center"/>
              <w:rPr>
                <w:rFonts w:hint="eastAsia"/>
                <w:sz w:val="30"/>
              </w:rPr>
            </w:pPr>
          </w:p>
          <w:p w14:paraId="24341C00" w14:textId="77777777" w:rsidR="00C56DA8" w:rsidRDefault="00C56DA8">
            <w:pPr>
              <w:jc w:val="left"/>
              <w:rPr>
                <w:rFonts w:hint="eastAsia"/>
                <w:sz w:val="30"/>
              </w:rPr>
            </w:pPr>
          </w:p>
          <w:p w14:paraId="7E22FC52" w14:textId="77777777" w:rsidR="00C56DA8" w:rsidRDefault="00C56DA8">
            <w:pPr>
              <w:jc w:val="center"/>
              <w:rPr>
                <w:rStyle w:val="a"/>
              </w:rPr>
            </w:pPr>
            <w:r>
              <w:rPr>
                <w:sz w:val="30"/>
              </w:rPr>
              <w:t>202</w:t>
            </w:r>
            <w:r>
              <w:rPr>
                <w:sz w:val="30"/>
              </w:rPr>
              <w:t>6</w:t>
            </w:r>
            <w:r>
              <w:rPr>
                <w:sz w:val="30"/>
              </w:rPr>
              <w:t>~20</w:t>
            </w:r>
            <w:r>
              <w:rPr>
                <w:sz w:val="30"/>
              </w:rPr>
              <w:t xml:space="preserve">27 </w:t>
            </w:r>
            <w:r>
              <w:rPr>
                <w:sz w:val="30"/>
              </w:rPr>
              <w:t>学年第</w:t>
            </w:r>
            <w:r>
              <w:rPr>
                <w:sz w:val="30"/>
              </w:rPr>
              <w:t xml:space="preserve"> </w:t>
            </w:r>
            <w:r>
              <w:rPr>
                <w:rFonts w:hint="eastAsia"/>
                <w:sz w:val="30"/>
              </w:rPr>
              <w:t>一</w:t>
            </w:r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学期</w:t>
            </w:r>
          </w:p>
        </w:tc>
      </w:tr>
    </w:tbl>
    <w:p w14:paraId="141E55A5" w14:textId="77777777" w:rsidR="00C56DA8" w:rsidRDefault="00C56DA8">
      <w:pPr>
        <w:ind w:firstLine="750"/>
        <w:rPr>
          <w:rStyle w:val="a"/>
        </w:rPr>
      </w:pPr>
    </w:p>
    <w:p w14:paraId="6AC866EB" w14:textId="77777777" w:rsidR="00C56DA8" w:rsidRDefault="00C56DA8">
      <w:pPr>
        <w:ind w:firstLine="750"/>
        <w:rPr>
          <w:sz w:val="30"/>
        </w:rPr>
      </w:pPr>
    </w:p>
    <w:p w14:paraId="25212641" w14:textId="77777777" w:rsidR="00C56DA8" w:rsidRDefault="00C56DA8">
      <w:pPr>
        <w:jc w:val="center"/>
        <w:rPr>
          <w:sz w:val="52"/>
        </w:rPr>
      </w:pPr>
      <w:r>
        <w:rPr>
          <w:sz w:val="52"/>
        </w:rPr>
        <w:t>说</w:t>
      </w:r>
      <w:r>
        <w:rPr>
          <w:sz w:val="52"/>
        </w:rPr>
        <w:t xml:space="preserve">  </w:t>
      </w:r>
      <w:r>
        <w:rPr>
          <w:sz w:val="52"/>
        </w:rPr>
        <w:t>明</w:t>
      </w:r>
    </w:p>
    <w:p w14:paraId="03C56036" w14:textId="77777777" w:rsidR="00C56DA8" w:rsidRDefault="00C56DA8">
      <w:pPr>
        <w:pStyle w:val="a3"/>
        <w:rPr>
          <w:sz w:val="28"/>
        </w:rPr>
      </w:pPr>
      <w:r>
        <w:rPr>
          <w:sz w:val="28"/>
        </w:rPr>
        <w:t>课程设计报告是关于实践教学内容、过程及效果的记录和总结，因此，应注意以下事项和要求：</w:t>
      </w:r>
    </w:p>
    <w:p w14:paraId="4608ADDD" w14:textId="77777777" w:rsidR="00C56DA8" w:rsidRDefault="00C56DA8">
      <w:pPr>
        <w:ind w:firstLine="435"/>
        <w:rPr>
          <w:b/>
          <w:sz w:val="28"/>
        </w:rPr>
      </w:pPr>
      <w:r>
        <w:rPr>
          <w:sz w:val="28"/>
        </w:rPr>
        <w:t>1</w:t>
      </w:r>
      <w:r>
        <w:rPr>
          <w:sz w:val="28"/>
        </w:rPr>
        <w:t>．课程设计报告要求：</w:t>
      </w:r>
      <w:r>
        <w:rPr>
          <w:rFonts w:hint="eastAsia"/>
          <w:b/>
          <w:sz w:val="28"/>
        </w:rPr>
        <w:t>格式</w:t>
      </w:r>
      <w:r>
        <w:rPr>
          <w:b/>
          <w:sz w:val="28"/>
        </w:rPr>
        <w:t>规范、语言表达清楚、数据和代码真实。并能够理论联系实际，认真分析实践中出现的问题与现象，总结经验。</w:t>
      </w:r>
    </w:p>
    <w:p w14:paraId="5602E49B" w14:textId="77777777" w:rsidR="00C56DA8" w:rsidRDefault="00C56DA8">
      <w:pPr>
        <w:ind w:firstLine="435"/>
        <w:rPr>
          <w:sz w:val="28"/>
        </w:rPr>
      </w:pPr>
      <w:r>
        <w:rPr>
          <w:sz w:val="28"/>
        </w:rPr>
        <w:t>2</w:t>
      </w:r>
      <w:r>
        <w:rPr>
          <w:sz w:val="28"/>
        </w:rPr>
        <w:t>．每位同学应独立完成实践报告的撰写，严禁抄袭或拷贝，否则，一经查实，按作弊论处。</w:t>
      </w:r>
    </w:p>
    <w:p w14:paraId="4808E8AC" w14:textId="77777777" w:rsidR="00C56DA8" w:rsidRDefault="00C56DA8">
      <w:pPr>
        <w:ind w:firstLine="435"/>
        <w:rPr>
          <w:sz w:val="28"/>
        </w:rPr>
      </w:pPr>
      <w:r>
        <w:rPr>
          <w:rFonts w:hint="eastAsia"/>
          <w:sz w:val="28"/>
        </w:rPr>
        <w:t>3</w:t>
      </w:r>
      <w:r>
        <w:rPr>
          <w:sz w:val="28"/>
        </w:rPr>
        <w:t xml:space="preserve">. </w:t>
      </w:r>
      <w:r>
        <w:rPr>
          <w:sz w:val="28"/>
        </w:rPr>
        <w:t>可根据实际需要调整每个单元格的篇幅</w:t>
      </w:r>
      <w:r>
        <w:rPr>
          <w:rFonts w:hint="eastAsia"/>
          <w:sz w:val="28"/>
        </w:rPr>
        <w:t>。</w:t>
      </w:r>
    </w:p>
    <w:p w14:paraId="18D2EA93" w14:textId="77777777" w:rsidR="00C56DA8" w:rsidRDefault="00C56DA8">
      <w:pPr>
        <w:ind w:firstLine="435"/>
        <w:rPr>
          <w:sz w:val="28"/>
        </w:rPr>
      </w:pPr>
      <w:r>
        <w:rPr>
          <w:rFonts w:hint="eastAsia"/>
          <w:sz w:val="28"/>
        </w:rPr>
        <w:t>4</w:t>
      </w:r>
      <w:r>
        <w:rPr>
          <w:sz w:val="28"/>
        </w:rPr>
        <w:t xml:space="preserve">. </w:t>
      </w:r>
      <w:r>
        <w:rPr>
          <w:sz w:val="28"/>
        </w:rPr>
        <w:t>请按照要求填写课程设计报告</w:t>
      </w:r>
      <w:r>
        <w:rPr>
          <w:rFonts w:hint="eastAsia"/>
          <w:sz w:val="28"/>
        </w:rPr>
        <w:t>。部分核心</w:t>
      </w:r>
      <w:r>
        <w:rPr>
          <w:sz w:val="28"/>
        </w:rPr>
        <w:t>代码</w:t>
      </w:r>
      <w:r>
        <w:rPr>
          <w:rFonts w:hint="eastAsia"/>
          <w:sz w:val="28"/>
        </w:rPr>
        <w:t>可</w:t>
      </w:r>
      <w:r>
        <w:rPr>
          <w:sz w:val="28"/>
        </w:rPr>
        <w:t>放置在附录中</w:t>
      </w:r>
      <w:r>
        <w:rPr>
          <w:rFonts w:hint="eastAsia"/>
          <w:sz w:val="28"/>
        </w:rPr>
        <w:t>。</w:t>
      </w:r>
    </w:p>
    <w:p w14:paraId="6E7DC5F1" w14:textId="77777777" w:rsidR="00C56DA8" w:rsidRDefault="00C56DA8">
      <w:pPr>
        <w:ind w:firstLine="435"/>
        <w:rPr>
          <w:rFonts w:hint="eastAsia"/>
          <w:sz w:val="28"/>
        </w:rPr>
      </w:pPr>
      <w:r>
        <w:rPr>
          <w:rFonts w:hint="eastAsia"/>
          <w:sz w:val="28"/>
        </w:rPr>
        <w:t>5</w:t>
      </w:r>
      <w:r>
        <w:rPr>
          <w:sz w:val="28"/>
        </w:rPr>
        <w:t xml:space="preserve">. </w:t>
      </w:r>
      <w:r>
        <w:rPr>
          <w:rFonts w:hint="eastAsia"/>
          <w:sz w:val="28"/>
        </w:rPr>
        <w:t>格式应美观并保持统一，中文采用宋体、英文采用</w:t>
      </w:r>
      <w:r>
        <w:rPr>
          <w:rFonts w:hint="eastAsia"/>
          <w:sz w:val="28"/>
        </w:rPr>
        <w:t>Times</w:t>
      </w:r>
      <w:r>
        <w:rPr>
          <w:sz w:val="28"/>
        </w:rPr>
        <w:t xml:space="preserve"> </w:t>
      </w:r>
      <w:r>
        <w:rPr>
          <w:rFonts w:hint="eastAsia"/>
          <w:sz w:val="28"/>
        </w:rPr>
        <w:t>New</w:t>
      </w:r>
      <w:r>
        <w:rPr>
          <w:sz w:val="28"/>
        </w:rPr>
        <w:t xml:space="preserve"> </w:t>
      </w:r>
      <w:r>
        <w:rPr>
          <w:rFonts w:hint="eastAsia"/>
          <w:sz w:val="28"/>
        </w:rPr>
        <w:t>Roman</w:t>
      </w:r>
      <w:r>
        <w:rPr>
          <w:rFonts w:hint="eastAsia"/>
          <w:sz w:val="28"/>
        </w:rPr>
        <w:t>字体。</w:t>
      </w:r>
    </w:p>
    <w:p w14:paraId="6A1FA5C2" w14:textId="77777777" w:rsidR="00C56DA8" w:rsidRDefault="00C56DA8">
      <w:pPr>
        <w:ind w:firstLine="435"/>
        <w:rPr>
          <w:rStyle w:val="a"/>
        </w:rPr>
      </w:pPr>
    </w:p>
    <w:p w14:paraId="5B270361" w14:textId="77777777" w:rsidR="00C56DA8" w:rsidRDefault="00C56DA8">
      <w:pPr>
        <w:rPr>
          <w:rStyle w:val="a"/>
        </w:rPr>
      </w:pPr>
      <w:r>
        <w:rPr>
          <w:rStyle w:val="a"/>
        </w:rPr>
        <w:br w:type="page"/>
      </w:r>
    </w:p>
    <w:p w14:paraId="02B97C67" w14:textId="77777777" w:rsidR="00C56DA8" w:rsidRDefault="00C56DA8">
      <w:pPr>
        <w:keepNext w:val="0"/>
        <w:keepLines/>
        <w:widowControl/>
        <w:spacing w:before="0" w:after="80" w:line="300" w:lineRule="auto"/>
        <w:ind w:firstLine="0"/>
        <w:jc w:val="left"/>
        <w:rPr>
          <w:sz w:val="30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任务名称 基于机器学习的智能投资顾问系统</w:t>
      </w:r>
    </w:p>
    <w:p w14:paraId="20E63EEE" w14:textId="77777777" w:rsidR="00C56DA8" w:rsidRDefault="00C56DA8">
      <w:pPr>
        <w:rPr>
          <w:rFonts w:hint="eastAsia"/>
          <w:sz w:val="30"/>
        </w:rPr>
      </w:pPr>
      <w:r>
        <w:rPr>
          <w:sz w:val="30"/>
        </w:rPr>
        <w:t xml:space="preserve">                        </w:t>
      </w:r>
      <w:r>
        <w:rPr>
          <w:sz w:val="30"/>
        </w:rPr>
        <w:t>实践开展时间</w:t>
      </w:r>
      <w:r>
        <w:rPr>
          <w:rFonts w:ascii="宋体" w:hAnsi="宋体" w:cs="宋体" w:hint="eastAsia"/>
          <w:sz w:val="30"/>
        </w:rPr>
        <w:t>∶</w:t>
      </w:r>
      <w:r>
        <w:rPr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sz w:val="30"/>
        </w:rPr>
        <w:t>年</w:t>
      </w:r>
      <w:r>
        <w:rPr>
          <w:rFonts w:hint="eastAsia"/>
          <w:sz w:val="30"/>
          <w:u w:val="single"/>
        </w:rPr>
        <w:t xml:space="preserve">  </w:t>
      </w:r>
      <w:r>
        <w:rPr>
          <w:sz w:val="30"/>
        </w:rPr>
        <w:t>月</w:t>
      </w:r>
      <w:r>
        <w:rPr>
          <w:rFonts w:hint="eastAsia"/>
          <w:sz w:val="30"/>
          <w:u w:val="single"/>
        </w:rPr>
        <w:t xml:space="preserve">  </w:t>
      </w:r>
      <w:r>
        <w:rPr>
          <w:sz w:val="30"/>
        </w:rPr>
        <w:t>日</w:t>
      </w:r>
      <w:r>
        <w:rPr>
          <w:sz w:val="30"/>
        </w:rPr>
        <w:t xml:space="preserve">  </w:t>
      </w:r>
    </w:p>
    <w:p w14:paraId="3C08FD31" w14:textId="77777777" w:rsidR="00C56DA8" w:rsidRDefault="00C56DA8">
      <w:pPr>
        <w:jc w:val="left"/>
        <w:rPr>
          <w:rStyle w:val="a"/>
        </w:rPr>
      </w:pPr>
    </w:p>
    <w:tbl>
      <w:tblPr>
        <w:tblW w:w="10000" w:type="dxa"/>
        <w:tblInd w:w="-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0"/>
      </w:tblGrid>
      <w:tr>
        <w:trPr>
          <w:cantSplit/>
        </w:trPr>
        <w:tc>
          <w:tcPr>
            <w:tcW w:w="10000" w:type="dxa"/>
            <w:tcBorders>
              <w:bottom w:val="single" w:sz="4" w:color="auto"/>
            </w:tcBorders>
          </w:tcPr>
          <w:p w14:paraId="3FE60B48" w14:textId="77777777" w:rsidR="00C56DA8" w:rsidRDefault="00C56DA8">
            <w:pPr>
              <w:jc w:val="left"/>
              <w:rPr>
                <w:b/>
              </w:rPr>
            </w:pPr>
            <w:r>
              <w:rPr>
                <w:b/>
                <w:sz w:val="32"/>
              </w:rPr>
              <w:t>课程设计内容</w:t>
            </w:r>
          </w:p>
        </w:tc>
      </w:tr>
      <w:tr>
        <w:trPr>
          <w:cantSplit/>
        </w:trPr>
        <w:tc>
          <w:tcPr>
            <w:tcW w:w="10000" w:type="dxa"/>
          </w:tcPr>
          <w:p w14:paraId="2923C00E" w14:textId="77777777" w:rsidR="00C56DA8" w:rsidRDefault="00C56DA8">
            <w:pPr>
              <w:keepNext/>
              <w:keepLines/>
              <w:widowControl/>
              <w:spacing w:line="300" w:lineRule="auto" w:before="100" w:after="80"/>
              <w:ind w:firstLine="0"/>
              <w:jc w:val="left"/>
              <w:rPr>
                <w:b/>
                <w:sz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8"/>
              </w:rPr>
              <w:t>一 题目内容和要求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1.1 选题及完成情况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本项目选择第27题基于机器学习的智能投资顾问系统，实现知衡InvestLab本地软件，包含股票咨询、买卖账本、风险预警、资产配置、模型实验室、用户画像、市场行业、组合风险、回测验证和投资学堂。系统已完成本地模型训练、公开数据读取和交互界面，可持续更新数据和生成候选模型。本文记录实际实现及2026年10月29日的实验结果，不把功能实现等同于投资有效性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1.2 需求边界</w:t>
            </w:r>
          </w:p>
        </w:tc>
      </w:tr>
      <w:tr>
        <w:trPr>
          <w:cantSplit/>
        </w:trPr>
        <w:tc>
          <w:tcPr>
            <w:tcW w:w="10000" w:type="dxa"/>
            <w:tcBorders>
              <w:bottom w:val="single" w:sz="4" w:color="auto"/>
            </w:tcBorders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判断模型分析历史量价特征，语言模型解释检索证据，确定性程序计算盈亏和资金约束。软件不连接券商交易接口。新闻监测采用无需账号的公开财经来源，已替代微博。NPU尚未部署，训练及推理使用CPU。</w:t>
            </w:r>
          </w:p>
        </w:tc>
      </w:tr>
      <w:tr>
        <w:trPr>
          <w:cantSplit/>
        </w:trPr>
        <w:tc>
          <w:tcPr>
            <w:tcW w:w="10000" w:type="dxa"/>
          </w:tcPr>
          <w:p w14:paraId="46877B03" w14:textId="77777777" w:rsidR="00C56DA8" w:rsidRDefault="00C56DA8">
            <w:pPr>
              <w:keepNext/>
              <w:keepLines/>
              <w:widowControl/>
              <w:spacing w:line="300" w:lineRule="auto" w:before="100" w:after="80"/>
              <w:ind w:firstLine="0"/>
              <w:jc w:val="left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8"/>
              </w:rPr>
              <w:t>二 问题背景和相关工作介绍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2.1 研究背景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股票研究需要结合价格变化、经营披露和舆情。历史价格低位不等于估值便宜，负面关键词不等于事件属实。本项目将数值信号、公告原文和新闻线索分别展示，并保留来源和时间，避免把传闻直接转化为卖出指令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2.2 模型选择</w:t>
            </w:r>
          </w:p>
        </w:tc>
      </w:tr>
      <w:tr>
        <w:trPr>
          <w:cantSplit/>
        </w:trPr>
        <w:tc>
          <w:tcPr>
            <w:tcW w:w="10000" w:type="dxa"/>
            <w:tcBorders>
              <w:bottom w:val="single" w:sz="4" w:color="auto"/>
            </w:tcBorders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判断模型采用LightGBM方向分类器与下探事件分类器。语言模型为Qwen3 4B Instruct 2507的Q4_K_M量化版本，权重约2.4GB，通过llama.cpp在CPU运行，适配32GB内存和无独立显卡环境。该选择为工程折中，没有通过多模型基准证明绝对性价比最优。组合使用LedoitWolf收缩协方差和SLSQP约束优化。</w:t>
            </w:r>
          </w:p>
        </w:tc>
      </w:tr>
      <w:tr>
        <w:trPr>
          <w:cantSplit/>
        </w:trPr>
        <w:tc>
          <w:tcPr>
            <w:tcW w:w="10000" w:type="dxa"/>
          </w:tcPr>
          <w:p w14:paraId="60DBE102" w14:textId="77777777" w:rsidR="00C56DA8" w:rsidRDefault="00C56DA8">
            <w:pPr>
              <w:keepNext/>
              <w:keepLines/>
              <w:widowControl/>
              <w:spacing w:line="300" w:lineRule="auto" w:before="100" w:after="80"/>
              <w:ind w:firstLine="0"/>
              <w:jc w:val="left"/>
              <w:rPr>
                <w:b/>
                <w:sz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8"/>
              </w:rPr>
              <w:t>三 解题思路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3.1 架构与模块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本机HTTP服务连接浏览器和Python模块，SQLite保存交易、设置与事件，JSON保存缓存和版本清单。market负责来源适配，universe负责行业目录，models负责训练，llm负责语言解释，store负责账本，alerts负责巡检，updates负责独立更新，public_news负责公开快讯读取及股票匹配。所有业务可脱离对话助手在本机运行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前端为本地HTML、CSS和JavaScript，采用柔和玫红主题，正收益红色、负收益绿色。服务只监听127.0.0.1，校验请求来源；成本、数量和资产预算不会发送给云端语言模型。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3.2 行情与及时性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最新报价来自腾讯证券公开接口，带来源时间；页面每30秒刷新，本地缓存20秒。工作日交易时段报价超过5分钟标为过期，公开来源没有延迟服务保证，尚未接入完整交易所日历。休市显示最近报价，不能冒充即时成交价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历史日线优先使用新浪日线和官方前复权因子，备用东方财富及腾讯接口。训练数据须为前复权且至少300条有效日线。程序检查日期去重、正价格、最高最低价关系和成交量；15时15分前排除未完成当日日线。实际采集遇到备用接口连接关闭和501错误，增加新浪来源后完成扩大训练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公司公告索引、公告正文和新闻来自东方财富。财报通过上市公司公告读取，并非已实现通用公司官网爬虫。每次查询保留来源、日期、链接和错误，读取失败不等于没有风险。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3.3 股票池与未见股票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股票池按新浪公开行业目录更新，排除非行业的次新股分类，共48个来源分类、374只候选。这一分类不是申万2021，包含综合等历史类别。每行业选最多5只有效公司，通常4只训练、1只留出，保证实际训练不少于3只；不足时整轮失败并保留原模型。最终191只训练、48只留出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输入未见股票时，程序仍可以获取其日线和资料，应用共享量价模型；界面显示训练成员状态及超出训练特征1%至99%范围的数量。检索获得新事实与模型权重学习是两个过程，任何一个都不能保证预测正确。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3.4 特征 标签和时间隔离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14项特征包括1、5、20、60日收益，5、20、60日波动，5、20、60日均线偏离、振幅、20日相对成交量、60日回撤和120日位置。特征只读取当日及以前数据；预热120日。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方向标签以次日开盘至第五个后续交易日收盘收益扣除0.2%费用计算，大于1%为上涨，小于负1%为下跌，其余震荡。下探事件为未来五个交易日最低价低于当日收盘的97%。未来窗口不完整不产生标签。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按共同日期约60%、15%、10%、15%划分训练、验证、校准和测试，剔除跨边界标签。LightGBM最多350轮、15叶、学习率0.04、最小叶样本70，随机种子27，8线程。下探概率经独立区间逻辑回归校准，方向分数未校准。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3.5 语言解释及外部证据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语言模型读取量化结果、公告、新闻和财报局部摘录，输出定性解释。联调发现小模型可能误读数值，因此页面直接展示程序算出的概率，生成端限制数值复述，过滤明显数字句和无效引用。格式过滤不代表语义完全可靠，用户仍需核对原文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公开新闻由东方财富公司新闻检索与新浪财经7×24快讯共同提供，无需账号或密钥。新浪每次读取最近100条，优先按股票标签匹配；缺少标签时才按代码或完整简称匹配，减少关联公司误匹配。记录发布时间、抓取时间和来源，接口失败明确显示。实测新浪取得100条快讯，东方财富取得15条公司新闻，并验证股票603002匹配一条新浪快讯，完整调用未报错。微博已从运行链路和界面移除，公开快讯不等于社交平台全量舆情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3.6 买卖账本与盈亏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用户输入代码、时间和数量，系统自动预填当日未复权收盘价，当天盘中使用最近报价。日线不能恢复用户实际成交价，预填必须允许修改。价格或费用未经核对时标为估算，不能称作券商确认收益。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买入增加股数和含费成本；卖出按移动加权成本释放成本，已实现盈亏等于卖出净收入减释放成本。浮动盈亏等于最新市值减剩余成本，累计盈亏为两者之和。支持部分卖出、全平仓和撤销误录，回放完整历史以阻止超卖、倒序录入造成负持仓和当天买入当天卖出。不包含分红、送转及利息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3.7 巡检 配置和自动更新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持仓巡检每次完成后120秒再运行，筛查最近72小时公告、公司新闻和公开财经快讯；新闻及公告索引缓存60秒。关键词命中、辟谣降级、重复去重及错误记录落库；通知需要页面打开，浏览器通知还需用户授权。采集、训练与预警分别调度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配置从每个训练行业选择一只普通板块代表股，按历史协方差和模型信号优化。稳健默认投入65%、进取85%，用户可自行指定投入金额。总资金大于500元即可计算，不再强制至少四只股票。个股25%、行业30%或40%作为分散软目标；先求连续权重，再按100股取整并补配余款，尽量接近目标投入。每只股票一手仍买不起时如实保留现金。支持手动改股数和预算检查，不改变实际账本。点击推荐股票弹出20、60、120或250交易日蜡烛图与成交量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后台默认每15分钟更新关注公司资料，每周刷新行业目录，工作日16时15分后每天最多训练一次。候选需满足覆盖、未见股票基线、当前版本比较以及新增20个成熟测试交易日要求；亏损且落后等权基准时禁止自动替换。旧版保留可回退，失败写入日志。更新脚本也可单独运行，跨进程锁防止并发训练。语言模型仅检索更新知识，不自动微调权重。关机、休眠和退出程序会停止任务，未设置Windows开机启动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3.8 课程要求补全与用户画像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题目27的八项要求对应用户画像、资产配置、市场行业、组合风险、回测验证、个性化策略、投资学堂及投资者保护。十题问卷参考公开银行测评维度，由本项目自行设计0至30分规则，覆盖经验、知识、收入、债务、备用金、投资占比、期限和损失承受能力。形成五级画像及五维图，保留最近50次记录；365天后提醒重评。画像影响风险优化与适配提示，用户自定配置金额不再被静默压低。产品类别与策略说明按画像区分，不冒充正式银行测评或认证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行业模块比较48个来源行业各三只代表股的20日、60日收益和相对加速度；宏观优先读取国家统计局，实测本机官方站点连接失败，备用读取财经新闻并标记需核查。宏观解读为条件提示，未建立因果预测模型。组合风险按当前股票权重回放历史，展示集中度、年化波动、历史VaR与回撤，每分钟在页面刷新；配置显示当前持仓与目标差额，不执行交易。投资学堂提供五项知识及理解测试。来源披露、风险揭示、画像留档和本机访问限制构成课程投资者保护措施，不能据此声称商业投顾合规认证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3.9 独立的短期与长期研究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咨询和配置均可选5交易日短线或60交易日季度长线。长线采用独立LightGBM收益回归器，使用同一14项历史特征，标签为次日开盘至第60日收盘扣0.2%费用收益，训练、验证、测试按时间隔离并剔除跨界标签。60日不是多年投资预测，财务因子模型尚未实现。</w:t>
            </w:r>
          </w:p>
        </w:tc>
      </w:tr>
      <w:tr>
        <w:trPr>
          <w:cantSplit/>
        </w:trPr>
        <w:tc>
          <w:tcPr>
            <w:tcW w:w="10000" w:type="dxa"/>
            <w:tcBorders>
              <w:bottom w:val="single" w:sz="4" w:color="auto"/>
            </w:tcBorders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长周期训练81469条、验证22459条、测试34165条，测试日期2025年11月3日至2026年7月28日。已见股票MAE为0.162259，常数基线0.162219；未见股票8582条，MAE为0.148478，基线0.148376。两者均未优于常数，因此界面提示弱有效性，长期配置不提供未通过基线检查的股票备选，保留现金。自动晋升新增长期基线检查。长期模块报告预测误差，没有伪造长期策略回测。</w:t>
            </w:r>
          </w:p>
        </w:tc>
      </w:tr>
      <w:tr>
        <w:trPr>
          <w:cantSplit/>
        </w:trPr>
        <w:tc>
          <w:tcPr>
            <w:tcW w:w="10000" w:type="dxa"/>
          </w:tcPr>
          <w:p w14:paraId="6EA73B03" w14:textId="77777777" w:rsidR="00C56DA8" w:rsidRDefault="00C56DA8">
            <w:pPr>
              <w:keepNext/>
              <w:keepLines/>
              <w:widowControl/>
              <w:spacing w:line="300" w:lineRule="auto" w:before="100" w:after="80"/>
              <w:ind w:firstLine="0"/>
              <w:jc w:val="left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8"/>
              </w:rPr>
              <w:t>四 算法伪代码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4.1 数据到候选模型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刷新行业目录并获取各行业候选日线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检查复权 数据质量 和每行业至少三只训练公司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分别保留训练公司与未见测试公司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构建仅依赖过去的特征与成熟未来标签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按时间划分训练 验证 校准 测试并清除边界重叠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训练方向和下探分类器 校准下探概率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评估已见和未见股票 保存指标 数据哈希和版本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通过全部晋升门槛时启用 否则保留当前版本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4.2 买卖账本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按成交时间排序所有有效记录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买入时增加股数 成本加上成交金额和费用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卖出时验证可卖数量并按比例释放加权成本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卖出净收入减释放成本得到本笔已实现盈亏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当前市值减剩余成本得到浮动盈亏</w:t>
            </w:r>
          </w:p>
        </w:tc>
      </w:tr>
      <w:tr>
        <w:trPr>
          <w:cantSplit/>
        </w:trPr>
        <w:tc>
          <w:tcPr>
            <w:tcW w:w="10000" w:type="dxa"/>
            <w:tcBorders>
              <w:bottom w:val="single" w:sz="4" w:color="auto"/>
            </w:tcBorders>
          </w:tcPr>
          <w:p>
            <w:pPr>
              <w:keepNext w:val="0"/>
              <w:keepLines w:val="0"/>
              <w:widowControl/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撤销误录前重放剩余账本 确保后续卖出仍有效</w:t>
            </w:r>
          </w:p>
        </w:tc>
      </w:tr>
      <w:tr>
        <w:trPr>
          <w:cantSplit/>
        </w:trPr>
        <w:tc>
          <w:tcPr>
            <w:tcW w:w="10000" w:type="dxa"/>
          </w:tcPr>
          <w:p w14:paraId="1D8FA8DB" w14:textId="77777777" w:rsidR="00C56DA8" w:rsidRDefault="00C56DA8">
            <w:pPr>
              <w:keepNext/>
              <w:keepLines/>
              <w:widowControl/>
              <w:spacing w:line="300" w:lineRule="auto" w:before="100" w:after="80"/>
              <w:ind w:firstLine="0"/>
              <w:jc w:val="left"/>
              <w:rPr>
                <w:b/>
                <w:sz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8"/>
              </w:rPr>
              <w:t>五 课程设计环境与实验设置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5.1 运行环境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Windows本地环境、32GB内存、无独立显卡。Python本地服务与LightGBM在CPU运行，Qwen量化模型通过llama.cpp CPU服务运行。NPU没有进行兼容性或加速测试。依赖和模型来源清单随源码保存。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5.2 实际数据划分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扩大版本为20261029-073725，191只训练股票共171518个有标签样本。48只未见股票另有6854个测试样本；训练清除边界重叠后保留以下区间。</w:t>
            </w:r>
          </w:p>
        </w:tc>
      </w:tr>
      <w:tr>
        <w:tc>
          <w:tcPr>
            <w:tcW w:w="10000" w:type="dxa"/>
          </w:tcPr>
          <w:tbl>
            <w:tblPr>
              <w:tblW w:type="dxa" w:w="9723"/>
              <w:tblLayout w:type="fixed"/>
              <w:tblLook w:firstColumn="1" w:firstRow="1" w:lastColumn="0" w:lastRow="0" w:noHBand="0" w:noVBand="1" w:val="04A0"/>
              <w:tblBorders>
                <w:top w:val="single" w:sz="4" w:color="808080"/>
                <w:left w:val="single" w:sz="4" w:color="808080"/>
                <w:bottom w:val="single" w:sz="4" w:color="808080"/>
                <w:right w:val="single" w:sz="4" w:color="808080"/>
                <w:insideH w:val="single" w:sz="4" w:color="808080"/>
                <w:insideV w:val="single" w:sz="4" w:color="808080"/>
              </w:tblBorders>
            </w:tblPr>
            <w:tblGrid>
              <w:gridCol w:w="2431"/>
              <w:gridCol w:w="2431"/>
              <w:gridCol w:w="2431"/>
              <w:gridCol w:w="2431"/>
            </w:tblGrid>
            <w:tr>
              <w:trPr>
                <w:cantSplit/>
                <w:tblHeader/>
              </w:trPr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1"/>
                    </w:rPr>
                    <w:t>区间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1"/>
                    </w:rPr>
                    <w:t>开始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1"/>
                    </w:rPr>
                    <w:t>结束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1"/>
                    </w:rPr>
                    <w:t>样本数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训练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2022-11-22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2025-03-20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98271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验证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2025-03-28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2025-10-21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26094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校准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2025-10-29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2026-03-12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16984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测试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2026-03-20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2026-10-21</w:t>
                  </w:r>
                </w:p>
              </w:tc>
              <w:tc>
                <w:tcPr>
                  <w:tcW w:type="dxa" w:w="243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27304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60" w:line="240" w:lineRule="auto"/>
              <w:ind w:firstLine="0"/>
              <w:jc w:val="left"/>
            </w:pP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5.3 验证口径</w:t>
            </w:r>
          </w:p>
        </w:tc>
      </w:tr>
      <w:tr>
        <w:trPr>
          <w:cantSplit/>
        </w:trPr>
        <w:tc>
          <w:tcPr>
            <w:tcW w:w="10000" w:type="dxa"/>
            <w:tcBorders>
              <w:bottom w:val="single" w:sz="4" w:color="auto"/>
            </w:tcBorders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模块测试使用隔离数据库；实际接口验证咨询、组合、本地推理和更新任务。虚构交易仅用于验收，之后撤销。研究回放每五个测试交易日选择上涨分数大于0.45、下探概率小于0.4的公司，采用标签中的收益与费用，未模拟涨跌停、退市、停牌和实际成交冲击。</w:t>
            </w:r>
          </w:p>
        </w:tc>
      </w:tr>
      <w:tr>
        <w:trPr>
          <w:cantSplit/>
        </w:trPr>
        <w:tc>
          <w:tcPr>
            <w:tcW w:w="10000" w:type="dxa"/>
          </w:tcPr>
          <w:p w14:paraId="6BB63AB9" w14:textId="77777777" w:rsidR="00C56DA8" w:rsidRDefault="00C56DA8">
            <w:pPr>
              <w:keepNext/>
              <w:keepLines/>
              <w:widowControl/>
              <w:spacing w:line="300" w:lineRule="auto" w:before="100" w:after="80"/>
              <w:ind w:firstLine="0"/>
              <w:jc w:val="left"/>
              <w:rPr>
                <w:sz w:val="24"/>
                <w:lang w:val="en-US" w:eastAsia="zh-CN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8"/>
              </w:rPr>
              <w:t>六 课程设计结果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6.1 扩大模型的结果</w:t>
            </w:r>
          </w:p>
        </w:tc>
      </w:tr>
      <w:tr>
        <w:tc>
          <w:tcPr>
            <w:tcW w:w="10000" w:type="dxa"/>
          </w:tcPr>
          <w:tbl>
            <w:tblPr>
              <w:tblW w:type="dxa" w:w="9723"/>
              <w:tblLayout w:type="fixed"/>
              <w:tblLook w:firstColumn="1" w:firstRow="1" w:lastColumn="0" w:lastRow="0" w:noHBand="0" w:noVBand="1" w:val="04A0"/>
              <w:tblBorders>
                <w:top w:val="single" w:sz="4" w:color="808080"/>
                <w:left w:val="single" w:sz="4" w:color="808080"/>
                <w:bottom w:val="single" w:sz="4" w:color="808080"/>
                <w:right w:val="single" w:sz="4" w:color="808080"/>
                <w:insideH w:val="single" w:sz="4" w:color="808080"/>
                <w:insideV w:val="single" w:sz="4" w:color="808080"/>
              </w:tblBorders>
            </w:tblPr>
            <w:tblGrid>
              <w:gridCol w:w="4861"/>
              <w:gridCol w:w="4861"/>
            </w:tblGrid>
            <w:tr>
              <w:trPr>
                <w:cantSplit/>
                <w:tblHeader/>
              </w:trPr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1"/>
                    </w:rPr>
                    <w:t>指标</w:t>
                  </w:r>
                </w:p>
              </w:tc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1"/>
                    </w:rPr>
                    <w:t>实测值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训练公司与留出公司</w:t>
                  </w:r>
                </w:p>
              </w:tc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191只与48只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行业覆盖</w:t>
                  </w:r>
                </w:p>
              </w:tc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48类 每类至少3只训练公司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采集加训练耗时</w:t>
                  </w:r>
                </w:p>
              </w:tc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248.41秒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已见股票方向Macro F1</w:t>
                  </w:r>
                </w:p>
              </w:tc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0.3010 多数类基线0.2075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已见股票下探Brier</w:t>
                  </w:r>
                </w:p>
              </w:tc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0.2296 常数基线0.2587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未见股票方向Macro F1</w:t>
                  </w:r>
                </w:p>
              </w:tc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0.3160 多数类基线0.2149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未见股票下探Brier</w:t>
                  </w:r>
                </w:p>
              </w:tc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0.2325 常数基线0.2594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预设策略研究回放收益</w:t>
                  </w:r>
                </w:p>
              </w:tc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约负29.07%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同期等权基准收益</w:t>
                  </w:r>
                </w:p>
              </w:tc>
              <w:tc>
                <w:tcPr>
                  <w:tcW w:type="dxa" w:w="4861"/>
                </w:tcPr>
                <w:p>
                  <w:pPr>
                    <w:keepNext w:val="0"/>
                    <w:keepLines/>
                    <w:widowControl/>
                    <w:spacing w:before="60" w:after="60" w:line="264" w:lineRule="auto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约负7.62%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60" w:line="240" w:lineRule="auto"/>
              <w:ind w:firstLine="0"/>
              <w:jc w:val="left"/>
            </w:pP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较旧版在同一未见样本上的Brier由0.2367改善为0.2325，但策略回放显著亏损。扩大版作为课程研究版本启用，不能作为有效买卖策略。自动晋升增加回放劣于基准拦截，后续不得仅凭分类指标改善替换。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6.2 账本与交互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参考价查询实测600900在2025年1月2日未复权收盘为29.20元。虚构买入200股、单价28元、费用5元，成本5605元；次日以29元卖出100股、费用5元，释放成本2802.50元，已实现92.50元。核对价格前界面标为估算。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界面包含参考价预填、可编辑价格、卖出记录、已实现与浮动盈亏、来源时间、未见股票说明、行业覆盖和更新日志。颜色采用红涨绿跌规则。完整真实调用证据保存在output目录。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6.3 尚未完成的验证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公开新闻的连续运行到达率尚待长期测量；长期多日通知到达率、完整交易日历、公司行为账本、历史退市成员、公司官网通用爬取、滚动前向评估和NPU部署尚未完成。更新能力不表示能自动修复任何第三方接口变动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6.4 一致性修复与桌面交付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组合与咨询共用判断、公告和新闻流程；自动备选要求上涨估计严格高于下跌，并排除高下探风险和近期公告风险关键词。提供多种组合与单股备选，刷新时轮换候选。风险画像自动设置风格与投入，但允许手动覆盖。成交录入同时显示股数乘参考价及加减费用后的净收支。开屏展示风险声明，程序不执行交易。方向概率仍未校准，已有回测不代表新版组合规则的业绩。旧测试数据库隔离缺陷已修复，增加临时目录强制检查和启动账本快照。</w:t>
            </w:r>
          </w:p>
        </w:tc>
      </w:tr>
      <w:tr>
        <w:trPr>
          <w:cantSplit/>
        </w:trPr>
        <w:tc>
          <w:tcPr>
            <w:tcW w:w="10000" w:type="dxa"/>
            <w:tcBorders>
              <w:bottom w:val="single" w:sz="4" w:color="auto"/>
            </w:tcBorders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本轮54项隔离测试通过。新增Telegram与企业微信群通知接口，支持新风险事件、定时摘要、失败重试与发送记录；默认关闭，凭据由Windows按当前用户加密。已测试模拟接口与本机加密，尚未绑定真实账号验证送达。资产配置支持0至50%的ε探索：按概率将部分候选替换为当前行业目录内的训练池外股票，排除独立留出组，仍须通过咨询复核。保存探索记录供结果成熟后评估，当前没有收益改善结论，也没有自动更新探索奖励。</w:t>
            </w:r>
          </w:p>
        </w:tc>
      </w:tr>
      <w:tr>
        <w:trPr>
          <w:cantSplit/>
        </w:trPr>
        <w:tc>
          <w:tcPr>
            <w:tcW w:w="10000" w:type="dxa"/>
          </w:tcPr>
          <w:p w14:paraId="373B21E7" w14:textId="77777777" w:rsidR="00C56DA8" w:rsidRDefault="00C56DA8">
            <w:pPr>
              <w:keepNext/>
              <w:keepLines/>
              <w:widowControl/>
              <w:spacing w:line="300" w:lineRule="auto" w:before="100" w:after="80"/>
              <w:ind w:firstLine="0"/>
              <w:jc w:val="left"/>
              <w:rPr>
                <w:b/>
                <w:sz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8"/>
              </w:rPr>
              <w:t>七 结果分析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7.1 工程功能和预测有效性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本地软件能够独立查询、训练、记录交易和运行更新任务；但方向分辨能力较弱，预设规则回放明显落后基准。下探Brier优于常数只说明本区间概率误差较低，不能推导到收益。当前行业成员存在幸存者偏差，复权历史为当前快照，测试区间亦非长期前向运行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7.2 改进方向</w:t>
            </w:r>
          </w:p>
        </w:tc>
      </w:tr>
      <w:tr>
        <w:trPr>
          <w:cantSplit/>
        </w:trPr>
        <w:tc>
          <w:tcPr>
            <w:tcW w:w="10000" w:type="dxa"/>
            <w:tcBorders>
              <w:bottom w:val="single" w:sz="4" w:color="auto"/>
            </w:tcBorders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应积累新的成熟数据开展滚动前向验证，比较简单策略及市场基线，并引入财务、行业相对特征。舆情需要人工标注测量误报和漏报。账户应补充分红送转与券商对账，风险问卷及期限已接入，但评分尚需专业校准，长期预测仍需验证。不能反复调整阈值以迎合已经查看的测试收益。</w:t>
            </w:r>
          </w:p>
        </w:tc>
      </w:tr>
      <w:tr>
        <w:trPr>
          <w:cantSplit/>
        </w:trPr>
        <w:tc>
          <w:tcPr>
            <w:tcW w:w="10000" w:type="dxa"/>
          </w:tcPr>
          <w:p w14:paraId="0D25FC7C" w14:textId="77777777" w:rsidR="00C56DA8" w:rsidRDefault="00C56DA8">
            <w:pPr>
              <w:keepNext/>
              <w:keepLines/>
              <w:widowControl/>
              <w:spacing w:line="300" w:lineRule="auto" w:before="100" w:after="80"/>
              <w:ind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8"/>
              </w:rPr>
              <w:t>八 总结</w:t>
            </w:r>
          </w:p>
        </w:tc>
      </w:tr>
      <w:tr>
        <w:trPr>
          <w:cantSplit/>
        </w:trPr>
        <w:tc>
          <w:tcPr>
            <w:tcW w:w="10000" w:type="dxa"/>
            <w:tcBorders>
              <w:bottom w:val="single" w:sz="4" w:color="auto"/>
            </w:tcBorders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本项目完成可运行的本地双模型研究软件，并将一次性训练扩展为资料获取、候选训练、评估、版本保留和有条件晋升的持续流程。软件能够获取陌生股票资料，但不能保证分析正确。报告保留失败接口和亏损回放，明确来源连续可用性、长期验证与硬件部署等尚未完成边界。</w:t>
            </w:r>
          </w:p>
        </w:tc>
      </w:tr>
      <w:tr>
        <w:trPr>
          <w:cantSplit/>
        </w:trPr>
        <w:tc>
          <w:tcPr>
            <w:tcW w:w="10000" w:type="dxa"/>
          </w:tcPr>
          <w:p w14:paraId="57D82170" w14:textId="77777777" w:rsidR="00C56DA8" w:rsidRDefault="00C56DA8">
            <w:pPr>
              <w:keepNext/>
              <w:keepLines/>
              <w:widowControl/>
              <w:spacing w:line="300" w:lineRule="auto" w:before="100" w:after="80"/>
              <w:ind w:firstLine="0"/>
              <w:jc w:val="left"/>
              <w:rPr>
                <w:b/>
                <w:sz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8"/>
              </w:rPr>
              <w:t>九 附录 算法源代码与参考资料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9.1 源码和复现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pp.py为入口，investlab包含业务模块，web包含界面，tests包含检查，scripts包含模型安装和更新脚本。data/models保存模型和清单，data/runs保存训练快照，data/knowledge保存证据，data/app.db保存交易。源码包不包含个人数据库。另提供Windows便携程序，包含判断权重、Qwen量化模型与训练推理运行库，解压后双击启动；个人数据保存到独立user-data目录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/>
              <w:keepLines/>
              <w:widowControl/>
              <w:spacing w:before="10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9.2 参考资料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[1] 智能应用系统课程设计2026发布文件 投资顾问题目 第23页。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[2] 智能应用系统课程设计报告2025模板。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[3] LightGBM官方项目 https://github.com/microsoft/LightGBM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[4] Qwen官方模型 https://huggingface.co/Qwen/Qwen3-4B-Instruct-2507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[5] llama.cpp官方项目 https://github.com/ggml-org/llama.cpp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[6] 新浪财经7×24公开新闻页面 https://finance.sina.com.cn/7x24/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[7] 新浪行业目录 https://vip.stock.finance.sina.com.cn/q/view/newSinaHy.php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[9] 中国银行个人客户风险测评说明，2026年3月。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https://pic.bankofchina.com/bocappd/wealth/cs82/202603/P020260327646673351867.pdf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[10] 国家统计局数据发布。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https://www.stats.gov.cn/sj/zxfb/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[8] scikit learn LedoitWolf官方文档。</w:t>
            </w:r>
          </w:p>
        </w:tc>
      </w:tr>
      <w:tr>
        <w:trPr>
          <w:cantSplit/>
        </w:trPr>
        <w:tc>
          <w:tcPr>
            <w:tcW w:w="10000" w:type="dxa"/>
          </w:tcPr>
          <w:p>
            <w:pPr>
              <w:keepNext w:val="0"/>
              <w:keepLines/>
              <w:widowControl/>
              <w:spacing w:before="0" w:after="80" w:line="30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https://scikit-learn.org/stable/modules/generated/sklearn.covariance.LedoitWolf.html</w:t>
            </w:r>
          </w:p>
        </w:tc>
      </w:tr>
      <w:tr>
        <w:trPr>
          <w:cantSplit/>
        </w:trPr>
        <w:tc>
          <w:tcPr>
            <w:tcW w:w="10000" w:type="dxa"/>
            <w:tcBorders>
              <w:bottom w:val="single" w:sz="4" w:color="auto"/>
            </w:tcBorders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模型下载版本与哈希保存在models/download_manifest.json，公开资料核验与本次扩大实验日期为2026年10月29日。封面个人信息仍需填写，PPT暂未制作。</w:t>
            </w:r>
          </w:p>
        </w:tc>
      </w:tr>
      <w:tr>
        <w:trPr>
          <w:cantSplit/>
        </w:trPr>
        <w:tc>
          <w:tcPr>
            <w:tcW w:w="10000" w:type="dxa"/>
          </w:tcPr>
          <w:p w14:paraId="4669DA9F" w14:textId="77777777" w:rsidR="00C56DA8" w:rsidRDefault="00C56DA8">
            <w:pPr>
              <w:keepNext/>
              <w:keepLines/>
              <w:widowControl/>
              <w:numPr>
                <w:ilvl w:val="0"/>
                <w:numId w:val="1"/>
              </w:numPr>
              <w:spacing w:line="300" w:lineRule="auto" w:before="100" w:after="80"/>
              <w:ind w:firstLine="0"/>
              <w:jc w:val="left"/>
              <w:rPr>
                <w:b/>
                <w:sz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8"/>
              </w:rPr>
              <w:t>感想 体会 建议</w:t>
            </w:r>
          </w:p>
        </w:tc>
      </w:tr>
      <w:tr>
        <w:trPr>
          <w:cantSplit/>
        </w:trPr>
        <w:tc>
          <w:tcPr>
            <w:tcW w:w="10000" w:type="dxa"/>
            <w:tcBorders>
              <w:bottom w:val="single" w:sz="4" w:color="auto"/>
            </w:tcBorders>
          </w:tcPr>
          <w:p>
            <w:pPr>
              <w:keepNext w:val="0"/>
              <w:keepLines/>
              <w:widowControl/>
              <w:spacing w:before="0" w:after="80" w:line="30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践表明，自动化需要明确失败条件、数据时间和可复现记录。扩大样本并没有自动解决盈利问题，真实亏损回放更能说明模型需要改进。把账本计算交给确定性程序，把资料归纳交给语言模型，再为更新设置检验门槛，有助于分别检查各环节，而不是依赖一段看似肯定的自然语言结论。</w:t>
            </w:r>
          </w:p>
        </w:tc>
      </w:tr>
    </w:tbl>
    <w:sectPr w:rsidR="00C56DA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01438" w14:textId="77777777" w:rsidR="00C56DA8" w:rsidRDefault="00C56DA8" w:rsidP="00E854BD">
      <w:r>
        <w:separator/>
      </w:r>
    </w:p>
  </w:endnote>
  <w:endnote w:type="continuationSeparator" w:id="0">
    <w:p w14:paraId="308F54D3" w14:textId="77777777" w:rsidR="00C56DA8" w:rsidRDefault="00C56DA8" w:rsidP="00E85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876DD" w14:textId="77777777" w:rsidR="00C56DA8" w:rsidRDefault="00C56DA8" w:rsidP="00E854BD">
      <w:r>
        <w:separator/>
      </w:r>
    </w:p>
  </w:footnote>
  <w:footnote w:type="continuationSeparator" w:id="0">
    <w:p w14:paraId="373E6691" w14:textId="77777777" w:rsidR="00C56DA8" w:rsidRDefault="00C56DA8" w:rsidP="00E854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257D624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9705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6B2A"/>
    <w:rsid w:val="00037718"/>
    <w:rsid w:val="00041B0D"/>
    <w:rsid w:val="00050659"/>
    <w:rsid w:val="00096D1F"/>
    <w:rsid w:val="000C2920"/>
    <w:rsid w:val="000C78A9"/>
    <w:rsid w:val="000D75DC"/>
    <w:rsid w:val="000F1465"/>
    <w:rsid w:val="000F43F0"/>
    <w:rsid w:val="000F5A62"/>
    <w:rsid w:val="00111AC5"/>
    <w:rsid w:val="00121E85"/>
    <w:rsid w:val="001661C2"/>
    <w:rsid w:val="0017611A"/>
    <w:rsid w:val="00191E49"/>
    <w:rsid w:val="001932E7"/>
    <w:rsid w:val="001A4FB1"/>
    <w:rsid w:val="001A7FF4"/>
    <w:rsid w:val="001B08BB"/>
    <w:rsid w:val="00203545"/>
    <w:rsid w:val="002260F3"/>
    <w:rsid w:val="0023658A"/>
    <w:rsid w:val="002761A9"/>
    <w:rsid w:val="00287AAE"/>
    <w:rsid w:val="002A421A"/>
    <w:rsid w:val="002D2A08"/>
    <w:rsid w:val="002D68E6"/>
    <w:rsid w:val="002F5897"/>
    <w:rsid w:val="003230E0"/>
    <w:rsid w:val="00337D39"/>
    <w:rsid w:val="00353F14"/>
    <w:rsid w:val="00364143"/>
    <w:rsid w:val="003C4716"/>
    <w:rsid w:val="003C6BFF"/>
    <w:rsid w:val="003D1F34"/>
    <w:rsid w:val="003D1FBE"/>
    <w:rsid w:val="003D6B56"/>
    <w:rsid w:val="0044793F"/>
    <w:rsid w:val="00480223"/>
    <w:rsid w:val="004802E2"/>
    <w:rsid w:val="004A34C8"/>
    <w:rsid w:val="004C4A35"/>
    <w:rsid w:val="004C6663"/>
    <w:rsid w:val="004D30FD"/>
    <w:rsid w:val="004D722A"/>
    <w:rsid w:val="004E5FC3"/>
    <w:rsid w:val="004F35B1"/>
    <w:rsid w:val="0051394D"/>
    <w:rsid w:val="005439F7"/>
    <w:rsid w:val="00554725"/>
    <w:rsid w:val="00561229"/>
    <w:rsid w:val="005A3F38"/>
    <w:rsid w:val="005A59A6"/>
    <w:rsid w:val="005D4A03"/>
    <w:rsid w:val="005E7B6E"/>
    <w:rsid w:val="00640E3A"/>
    <w:rsid w:val="00660CFF"/>
    <w:rsid w:val="0066672F"/>
    <w:rsid w:val="00696E81"/>
    <w:rsid w:val="006A5F03"/>
    <w:rsid w:val="007070DB"/>
    <w:rsid w:val="0070769A"/>
    <w:rsid w:val="00715EC1"/>
    <w:rsid w:val="00722890"/>
    <w:rsid w:val="00722B58"/>
    <w:rsid w:val="00731FEB"/>
    <w:rsid w:val="007452B1"/>
    <w:rsid w:val="00760AA0"/>
    <w:rsid w:val="0077783A"/>
    <w:rsid w:val="007812ED"/>
    <w:rsid w:val="007817D4"/>
    <w:rsid w:val="007827A8"/>
    <w:rsid w:val="00794910"/>
    <w:rsid w:val="007B1E9A"/>
    <w:rsid w:val="007B2DD1"/>
    <w:rsid w:val="007E062C"/>
    <w:rsid w:val="007E12C7"/>
    <w:rsid w:val="007E3EE0"/>
    <w:rsid w:val="007F6008"/>
    <w:rsid w:val="008053B6"/>
    <w:rsid w:val="00836235"/>
    <w:rsid w:val="00855437"/>
    <w:rsid w:val="008674E9"/>
    <w:rsid w:val="008F769F"/>
    <w:rsid w:val="0090176B"/>
    <w:rsid w:val="00950C41"/>
    <w:rsid w:val="009719CB"/>
    <w:rsid w:val="0098554A"/>
    <w:rsid w:val="009923D1"/>
    <w:rsid w:val="009A0ABF"/>
    <w:rsid w:val="009C12C0"/>
    <w:rsid w:val="009C49C6"/>
    <w:rsid w:val="009D2EC4"/>
    <w:rsid w:val="009E200B"/>
    <w:rsid w:val="009E7C80"/>
    <w:rsid w:val="009E7DD8"/>
    <w:rsid w:val="00A242A4"/>
    <w:rsid w:val="00A62C5B"/>
    <w:rsid w:val="00A919B0"/>
    <w:rsid w:val="00AD43EF"/>
    <w:rsid w:val="00B1485A"/>
    <w:rsid w:val="00B67800"/>
    <w:rsid w:val="00B809B0"/>
    <w:rsid w:val="00B81BEC"/>
    <w:rsid w:val="00B9593E"/>
    <w:rsid w:val="00BE0681"/>
    <w:rsid w:val="00BE1D9D"/>
    <w:rsid w:val="00BF6B79"/>
    <w:rsid w:val="00C014CF"/>
    <w:rsid w:val="00C05EC3"/>
    <w:rsid w:val="00C220D1"/>
    <w:rsid w:val="00C257A3"/>
    <w:rsid w:val="00C312CC"/>
    <w:rsid w:val="00C42D27"/>
    <w:rsid w:val="00C55ADE"/>
    <w:rsid w:val="00C56DA8"/>
    <w:rsid w:val="00C66B2A"/>
    <w:rsid w:val="00C93D53"/>
    <w:rsid w:val="00C93DF9"/>
    <w:rsid w:val="00CB65CB"/>
    <w:rsid w:val="00CD1DAB"/>
    <w:rsid w:val="00CF34B5"/>
    <w:rsid w:val="00CF7CEA"/>
    <w:rsid w:val="00D116EF"/>
    <w:rsid w:val="00D21921"/>
    <w:rsid w:val="00D67CF9"/>
    <w:rsid w:val="00D84E8F"/>
    <w:rsid w:val="00D912D0"/>
    <w:rsid w:val="00DD1B04"/>
    <w:rsid w:val="00DE63F5"/>
    <w:rsid w:val="00DF11BF"/>
    <w:rsid w:val="00E02E61"/>
    <w:rsid w:val="00E10E0F"/>
    <w:rsid w:val="00E21E7A"/>
    <w:rsid w:val="00E22512"/>
    <w:rsid w:val="00E4737A"/>
    <w:rsid w:val="00E665D6"/>
    <w:rsid w:val="00E7316F"/>
    <w:rsid w:val="00E854BD"/>
    <w:rsid w:val="00E978B2"/>
    <w:rsid w:val="00EA0C8A"/>
    <w:rsid w:val="00EB160C"/>
    <w:rsid w:val="00EC7CFF"/>
    <w:rsid w:val="00EE5BE4"/>
    <w:rsid w:val="00EE718D"/>
    <w:rsid w:val="00EF07FE"/>
    <w:rsid w:val="00F079F3"/>
    <w:rsid w:val="00F27925"/>
    <w:rsid w:val="00F560C0"/>
    <w:rsid w:val="00FB6F19"/>
    <w:rsid w:val="00FC4B34"/>
    <w:rsid w:val="00FE325E"/>
    <w:rsid w:val="00FF745C"/>
    <w:rsid w:val="05D05132"/>
    <w:rsid w:val="7FD7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0E8B7F"/>
  <w14:defaultImageDpi w14:val="0"/>
  <w15:chartTrackingRefBased/>
  <w15:docId w15:val="{79591A76-8F0C-4582-805F-F606E608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435"/>
    </w:pPr>
  </w:style>
  <w:style w:type="character" w:customStyle="1" w:styleId="a4">
    <w:name w:val="页脚 字符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眉 字符"/>
    <w:link w:val="a7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rPr>
      <w:rFonts w:ascii="Times New Roman" w:eastAsia="宋体" w:hAnsi="Times New Roman" w:cs="Times New Roman"/>
      <w:color w:val="0563C1"/>
      <w:u w:val="single"/>
    </w:rPr>
  </w:style>
  <w:style w:type="character" w:styleId="aa">
    <w:name w:val="Unresolved Mention"/>
    <w:rPr>
      <w:rFonts w:ascii="Times New Roman" w:eastAsia="宋体" w:hAnsi="Times New Roman" w:cs="Times New Roman"/>
      <w:color w:val="605E5C"/>
      <w:shd w:val="clear" w:color="auto" w:fill="E1DFDD"/>
    </w:rPr>
  </w:style>
  <w:style w:type="table" w:customStyle="1" w:styleId="1">
    <w:name w:val="网格型1"/>
    <w:basedOn w:val="a1"/>
    <w:rPr>
      <w:rFonts w:ascii="等线" w:eastAsia="等线" w:hAnsi="等线"/>
      <w:kern w:val="2"/>
      <w:sz w:val="21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642</Characters>
  <Application>Microsoft Office Word</Application>
  <DocSecurity>4</DocSecurity>
  <Lines>5</Lines>
  <Paragraphs>1</Paragraphs>
  <ScaleCrop>false</ScaleCrop>
  <Company>Legend (Beijing) Limited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实验报告格式</dc:title>
  <dc:subject/>
  <dc:creator>Lenovo User</dc:creator>
  <cp:keywords/>
  <cp:lastModifiedBy>懿运 谷</cp:lastModifiedBy>
  <cp:revision>2</cp:revision>
  <cp:lastPrinted>2006-11-08T18:11:00Z</cp:lastPrinted>
  <dcterms:created xsi:type="dcterms:W3CDTF">2026-10-28T08:49:00Z</dcterms:created>
  <dcterms:modified xsi:type="dcterms:W3CDTF">2026-10-28T08:49:00Z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2dda170b181848d8a1e4ab7426bcd9e2_23</vt:lpwstr>
  </property>
</Properties>
</file>