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rFonts w:ascii="Times New Roman" w:hAnsi="Times New Roman" w:cs="Times New Roman"/>
          <w:b/>
          <w:b/>
          <w:bCs/>
        </w:rPr>
      </w:pPr>
      <w:r>
        <w:rPr>
          <w:rFonts w:cs="Times New Roman" w:ascii="Times New Roman" w:hAnsi="Times New Roman"/>
          <w:b/>
          <w:bCs/>
        </w:rPr>
        <w:t xml:space="preserve">Essential oil, insect, and microbe relationship with </w:t>
      </w:r>
      <w:r>
        <w:rPr>
          <w:rFonts w:cs="Times New Roman" w:ascii="Times New Roman" w:hAnsi="Times New Roman"/>
          <w:b/>
          <w:bCs/>
          <w:i/>
        </w:rPr>
        <w:t xml:space="preserve">Juniperus osteosperma </w:t>
      </w:r>
      <w:r>
        <w:rPr>
          <w:rFonts w:cs="Times New Roman" w:ascii="Times New Roman" w:hAnsi="Times New Roman"/>
          <w:b/>
          <w:bCs/>
          <w:iCs/>
        </w:rPr>
        <w:t>trees killed by wildfire</w:t>
      </w:r>
    </w:p>
    <w:p>
      <w:pPr>
        <w:pStyle w:val="Body"/>
        <w:jc w:val="center"/>
        <w:rPr>
          <w:rFonts w:ascii="Times New Roman" w:hAnsi="Times New Roman" w:cs="Times New Roman"/>
          <w:b/>
          <w:b/>
          <w:bCs/>
        </w:rPr>
      </w:pPr>
      <w:r>
        <w:rPr>
          <w:rFonts w:cs="Times New Roman" w:ascii="Times New Roman" w:hAnsi="Times New Roman"/>
          <w:b/>
          <w:bCs/>
        </w:rPr>
      </w:r>
    </w:p>
    <w:p>
      <w:pPr>
        <w:pStyle w:val="Body"/>
        <w:jc w:val="center"/>
        <w:rPr>
          <w:rFonts w:ascii="Times New Roman" w:hAnsi="Times New Roman" w:cs="Times New Roman"/>
          <w:b/>
          <w:b/>
          <w:bCs/>
        </w:rPr>
      </w:pPr>
      <w:r>
        <w:rPr>
          <w:rFonts w:cs="Times New Roman" w:ascii="Times New Roman" w:hAnsi="Times New Roman"/>
          <w:b/>
          <w:bCs/>
        </w:rPr>
        <w:t xml:space="preserve">Tyler M. Wilson, Ariel Poulson, Chris Packer, Richard E. Carlson </w:t>
      </w:r>
    </w:p>
    <w:p>
      <w:pPr>
        <w:pStyle w:val="Body"/>
        <w:jc w:val="center"/>
        <w:rPr>
          <w:rFonts w:ascii="Times New Roman" w:hAnsi="Times New Roman" w:cs="Times New Roman"/>
          <w:bCs/>
        </w:rPr>
      </w:pPr>
      <w:r>
        <w:rPr>
          <w:rFonts w:cs="Times New Roman" w:ascii="Times New Roman" w:hAnsi="Times New Roman"/>
          <w:bCs/>
        </w:rPr>
        <w:t>D. Gary Young Research Institute, Lehi, UT 84043 tywilson@youngliving.com</w:t>
      </w:r>
    </w:p>
    <w:p>
      <w:pPr>
        <w:pStyle w:val="Body"/>
        <w:jc w:val="center"/>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
          <w:b/>
          <w:bCs/>
        </w:rPr>
      </w:pPr>
      <w:r>
        <w:rPr>
          <w:rFonts w:cs="Times New Roman" w:ascii="Times New Roman" w:hAnsi="Times New Roman"/>
          <w:b/>
          <w:bCs/>
          <w:color w:val="4472C4" w:themeColor="accent1"/>
        </w:rPr>
        <w:t>[Please add author(s) name and affiliation(s)]</w:t>
      </w:r>
    </w:p>
    <w:p>
      <w:pPr>
        <w:pStyle w:val="Body"/>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
          <w:b/>
          <w:bCs/>
        </w:rPr>
      </w:pPr>
      <w:r>
        <w:rPr>
          <w:rFonts w:cs="Times New Roman" w:ascii="Times New Roman" w:hAnsi="Times New Roman"/>
          <w:b/>
          <w:bCs/>
        </w:rPr>
        <w:t>ABSTRACT</w:t>
      </w:r>
    </w:p>
    <w:p>
      <w:pPr>
        <w:pStyle w:val="Body"/>
        <w:rPr>
          <w:rFonts w:ascii="Times New Roman" w:hAnsi="Times New Roman" w:cs="Times New Roman"/>
        </w:rPr>
      </w:pPr>
      <w:r>
        <w:rPr>
          <w:rFonts w:cs="Times New Roman" w:ascii="Times New Roman" w:hAnsi="Times New Roman"/>
        </w:rPr>
      </w:r>
    </w:p>
    <w:p>
      <w:pPr>
        <w:pStyle w:val="Body"/>
        <w:ind w:firstLine="720"/>
        <w:rPr>
          <w:rFonts w:ascii="Times New Roman" w:hAnsi="Times New Roman" w:cs="Times New Roman"/>
          <w:color w:val="4472C4" w:themeColor="accent1"/>
        </w:rPr>
      </w:pPr>
      <w:r>
        <w:rPr>
          <w:rFonts w:cs="Times New Roman" w:ascii="Times New Roman" w:hAnsi="Times New Roman"/>
          <w:color w:val="4472C4" w:themeColor="accent1"/>
        </w:rPr>
        <w:t>[Abstract: will be written later]</w:t>
      </w:r>
    </w:p>
    <w:p>
      <w:pPr>
        <w:pStyle w:val="Body"/>
        <w:rPr>
          <w:rFonts w:ascii="Times New Roman" w:hAnsi="Times New Roman" w:cs="Times New Roman"/>
        </w:rPr>
      </w:pPr>
      <w:r>
        <w:rPr>
          <w:rFonts w:cs="Times New Roman" w:ascii="Times New Roman" w:hAnsi="Times New Roman"/>
        </w:rPr>
      </w:r>
    </w:p>
    <w:p>
      <w:pPr>
        <w:pStyle w:val="Body"/>
        <w:rPr>
          <w:rFonts w:ascii="Times New Roman" w:hAnsi="Times New Roman" w:cs="Times New Roman"/>
        </w:rPr>
      </w:pPr>
      <w:r>
        <w:rPr>
          <w:rFonts w:cs="Times New Roman" w:ascii="Times New Roman" w:hAnsi="Times New Roman"/>
          <w:b/>
          <w:bCs/>
        </w:rPr>
        <w:t>KEY WORDS</w:t>
      </w:r>
      <w:r>
        <w:rPr>
          <w:rFonts w:cs="Times New Roman" w:ascii="Times New Roman" w:hAnsi="Times New Roman"/>
        </w:rPr>
        <w:t xml:space="preserve">: </w:t>
      </w:r>
      <w:r>
        <w:rPr>
          <w:rFonts w:cs="Times New Roman" w:ascii="Times New Roman" w:hAnsi="Times New Roman"/>
          <w:i/>
          <w:iCs/>
        </w:rPr>
        <w:t>Juniperus osteosperma</w:t>
      </w:r>
      <w:r>
        <w:rPr>
          <w:rFonts w:cs="Times New Roman" w:ascii="Times New Roman" w:hAnsi="Times New Roman"/>
        </w:rPr>
        <w:t xml:space="preserve">, aromatic profile, trunk, wildfire, insect, fungi, bacteria. </w:t>
      </w:r>
      <w:r>
        <w:rPr>
          <w:rFonts w:cs="Times New Roman" w:ascii="Times New Roman" w:hAnsi="Times New Roman"/>
          <w:iCs/>
          <w:color w:val="4472C4" w:themeColor="accent1"/>
        </w:rPr>
        <w:t>[Please add additional key words as you see fit]</w:t>
      </w:r>
    </w:p>
    <w:p>
      <w:pPr>
        <w:pStyle w:val="Body"/>
        <w:pBdr>
          <w:bottom w:val="single" w:sz="6" w:space="1" w:color="000000"/>
        </w:pBdr>
        <w:rPr>
          <w:rFonts w:ascii="Times New Roman" w:hAnsi="Times New Roman" w:cs="Times New Roman"/>
        </w:rPr>
      </w:pPr>
      <w:r>
        <w:rPr>
          <w:rFonts w:cs="Times New Roman" w:ascii="Times New Roman" w:hAnsi="Times New Roman"/>
        </w:rPr>
      </w:r>
    </w:p>
    <w:p>
      <w:pPr>
        <w:pStyle w:val="Body"/>
        <w:rPr>
          <w:rFonts w:ascii="Times New Roman" w:hAnsi="Times New Roman" w:cs="Times New Roman"/>
          <w:i/>
          <w:i/>
          <w:iCs/>
        </w:rPr>
      </w:pPr>
      <w:r>
        <w:rPr>
          <w:rFonts w:cs="Times New Roman" w:ascii="Times New Roman" w:hAnsi="Times New Roman"/>
          <w:i/>
          <w:iCs/>
        </w:rPr>
      </w:r>
    </w:p>
    <w:p>
      <w:pPr>
        <w:pStyle w:val="Body"/>
        <w:ind w:firstLine="720"/>
        <w:rPr>
          <w:rFonts w:ascii="Times New Roman" w:hAnsi="Times New Roman" w:cs="Times New Roman"/>
          <w:iCs/>
          <w:color w:val="auto"/>
        </w:rPr>
      </w:pPr>
      <w:r>
        <w:rPr>
          <w:rFonts w:cs="Times New Roman" w:ascii="Times New Roman" w:hAnsi="Times New Roman"/>
          <w:iCs/>
          <w:color w:val="auto"/>
        </w:rPr>
        <w:t xml:space="preserve">Pinyon-juniper forests are estimated to cover over 18 million hectares of the Intermountain West (Miller and Tausch 2001). </w:t>
      </w:r>
      <w:r>
        <w:rPr>
          <w:rFonts w:cs="Times New Roman" w:ascii="Times New Roman" w:hAnsi="Times New Roman"/>
        </w:rPr>
        <w:t xml:space="preserve">Three aromatic tree species are common to the pinyon-juniper forests in Utah, </w:t>
      </w:r>
      <w:r>
        <w:rPr>
          <w:rFonts w:cs="Times New Roman" w:ascii="Times New Roman" w:hAnsi="Times New Roman"/>
          <w:i/>
          <w:iCs/>
        </w:rPr>
        <w:t>Juniperus osteosperma</w:t>
      </w:r>
      <w:r>
        <w:rPr>
          <w:rFonts w:cs="Times New Roman" w:ascii="Times New Roman" w:hAnsi="Times New Roman"/>
        </w:rPr>
        <w:t xml:space="preserve"> (Utah juniper),</w:t>
      </w:r>
      <w:r>
        <w:rPr>
          <w:rFonts w:cs="Times New Roman" w:ascii="Times New Roman" w:hAnsi="Times New Roman"/>
          <w:i/>
          <w:iCs/>
        </w:rPr>
        <w:t xml:space="preserve"> Pinus edulis</w:t>
      </w:r>
      <w:r>
        <w:rPr>
          <w:rFonts w:cs="Times New Roman" w:ascii="Times New Roman" w:hAnsi="Times New Roman"/>
        </w:rPr>
        <w:t xml:space="preserve"> (pinyon pine), and at certain elevations and growing conditions, </w:t>
      </w:r>
      <w:r>
        <w:rPr>
          <w:rFonts w:cs="Times New Roman" w:ascii="Times New Roman" w:hAnsi="Times New Roman"/>
          <w:i/>
          <w:iCs/>
        </w:rPr>
        <w:t xml:space="preserve">J. scopulorum </w:t>
      </w:r>
      <w:r>
        <w:rPr>
          <w:rFonts w:cs="Times New Roman" w:ascii="Times New Roman" w:hAnsi="Times New Roman"/>
        </w:rPr>
        <w:t xml:space="preserve">(Rocky Mountain juniper) (Cronquist et al. 1972; Welsh 1993). Utah juniper is the most common tree in Utah (Cronquist et al. 1972). The trunk wood of all three species has been found to contain volatile oil (Poulson et al. 2020; Poulson et al. 2021; Wilson et al. 2019). </w:t>
      </w:r>
    </w:p>
    <w:p>
      <w:pPr>
        <w:pStyle w:val="Body"/>
        <w:rPr>
          <w:rFonts w:ascii="Times New Roman" w:hAnsi="Times New Roman" w:cs="Times New Roman"/>
          <w:iCs/>
          <w:color w:val="auto"/>
        </w:rPr>
      </w:pPr>
      <w:r>
        <w:rPr>
          <w:rFonts w:cs="Times New Roman" w:ascii="Times New Roman" w:hAnsi="Times New Roman"/>
          <w:iCs/>
          <w:color w:val="auto"/>
        </w:rPr>
      </w:r>
    </w:p>
    <w:p>
      <w:pPr>
        <w:pStyle w:val="Body"/>
        <w:ind w:firstLine="720"/>
        <w:rPr>
          <w:rFonts w:ascii="Times New Roman" w:hAnsi="Times New Roman" w:cs="Times New Roman"/>
          <w:color w:val="auto"/>
        </w:rPr>
      </w:pPr>
      <w:r>
        <w:rPr>
          <w:rFonts w:cs="Times New Roman" w:ascii="Times New Roman" w:hAnsi="Times New Roman"/>
          <w:color w:val="auto"/>
        </w:rPr>
        <w:t>The aromatic profile for Utah juniper</w:t>
      </w:r>
      <w:r>
        <w:rPr>
          <w:rFonts w:cs="Times New Roman" w:ascii="Times New Roman" w:hAnsi="Times New Roman"/>
          <w:i/>
          <w:color w:val="auto"/>
        </w:rPr>
        <w:t xml:space="preserve"> </w:t>
      </w:r>
      <w:r>
        <w:rPr>
          <w:rFonts w:cs="Times New Roman" w:ascii="Times New Roman" w:hAnsi="Times New Roman"/>
          <w:iCs/>
          <w:color w:val="auto"/>
        </w:rPr>
        <w:t xml:space="preserve">trunk essential oil </w:t>
      </w:r>
      <w:r>
        <w:rPr>
          <w:rFonts w:cs="Times New Roman" w:ascii="Times New Roman" w:hAnsi="Times New Roman"/>
          <w:color w:val="auto"/>
        </w:rPr>
        <w:t xml:space="preserve">was found to be prominent in α-pinene (59.4%), </w:t>
      </w:r>
      <w:r>
        <w:rPr>
          <w:rFonts w:eastAsia="Times New Roman" w:cs="Times New Roman" w:ascii="Times New Roman" w:hAnsi="Times New Roman"/>
          <w:color w:val="auto"/>
        </w:rPr>
        <w:t>δ-3-carene (4.4%)</w:t>
      </w:r>
      <w:r>
        <w:rPr>
          <w:rFonts w:cs="Times New Roman" w:ascii="Times New Roman" w:hAnsi="Times New Roman"/>
          <w:color w:val="auto"/>
        </w:rPr>
        <w:t>, cis-thujopsene (11.0%), and cedrol (3.0%) (Wilson et al. 2019). The aromatic profile for pinyon pine trunk essential oil was found to be prominent in α-pinene (50.3%), δ-3-carene (7.3%), ethyl octanoate (2.9%), longifolene (6.7%), and germacrene D (5.8%) (Poulson et al. 2020). The aromatic profile for Rocky Mountain juniper trunk essential oil, was found to be prominent in α-pinene (20.5%), cis-thujopsene (34.2%), and cedrol (18.9%) (Poulson et al. 2021). A primary difference between Utah juniper and Rocky Mountain juniper trunk is found in the purple-red heartwood that is unique to Rocky Mountain juniper</w:t>
      </w:r>
      <w:r>
        <w:rPr>
          <w:rFonts w:cs="Times New Roman" w:ascii="Times New Roman" w:hAnsi="Times New Roman"/>
          <w:i/>
          <w:iCs/>
          <w:color w:val="FF0000"/>
        </w:rPr>
        <w:t xml:space="preserve"> </w:t>
      </w:r>
      <w:r>
        <w:rPr>
          <w:rFonts w:cs="Times New Roman" w:ascii="Times New Roman" w:hAnsi="Times New Roman"/>
          <w:color w:val="auto"/>
        </w:rPr>
        <w:t>(Cronquist et al. 1972; Poulson et al. 2021; Welsh 1993)</w:t>
      </w:r>
      <w:r>
        <w:rPr>
          <w:rFonts w:cs="Times New Roman" w:ascii="Times New Roman" w:hAnsi="Times New Roman"/>
          <w:i/>
          <w:iCs/>
          <w:color w:val="auto"/>
        </w:rPr>
        <w:t xml:space="preserve">. </w:t>
      </w:r>
    </w:p>
    <w:p>
      <w:pPr>
        <w:pStyle w:val="Body"/>
        <w:ind w:firstLine="720"/>
        <w:rPr>
          <w:rFonts w:ascii="Times New Roman" w:hAnsi="Times New Roman" w:cs="Times New Roman"/>
          <w:color w:val="auto"/>
        </w:rPr>
      </w:pPr>
      <w:r>
        <w:rPr>
          <w:rFonts w:cs="Times New Roman" w:ascii="Times New Roman" w:hAnsi="Times New Roman"/>
          <w:color w:val="auto"/>
        </w:rPr>
      </w:r>
    </w:p>
    <w:p>
      <w:pPr>
        <w:pStyle w:val="Body"/>
        <w:ind w:firstLine="720"/>
        <w:rPr>
          <w:rFonts w:ascii="Times New Roman" w:hAnsi="Times New Roman" w:cs="Times New Roman"/>
          <w:iCs/>
          <w:color w:val="auto"/>
        </w:rPr>
      </w:pPr>
      <w:r>
        <w:rPr>
          <w:rFonts w:cs="Times New Roman" w:ascii="Times New Roman" w:hAnsi="Times New Roman"/>
          <w:iCs/>
          <w:color w:val="auto"/>
        </w:rPr>
        <w:t>Pinyon-juniper forests are often casualties of forest fires which result in the deaths of many trees (Gruell 1999). It has long been known that the decomposition of dead trees is an intricate process involving both abiotic and biotic factors (Shigo 1979). Examples of biotic decomposers include saprophytic fungi and bacteria (</w:t>
      </w:r>
      <w:r>
        <w:rPr>
          <w:rFonts w:cs="Times New Roman" w:ascii="Times New Roman" w:hAnsi="Times New Roman"/>
          <w:shd w:fill="FFFFFF" w:val="clear"/>
        </w:rPr>
        <w:t>Janusz et al. 2017</w:t>
      </w:r>
      <w:r>
        <w:rPr>
          <w:rFonts w:cs="Times New Roman" w:ascii="Times New Roman" w:hAnsi="Times New Roman"/>
          <w:iCs/>
          <w:color w:val="auto"/>
        </w:rPr>
        <w:t xml:space="preserve">; </w:t>
      </w:r>
      <w:r>
        <w:rPr>
          <w:rFonts w:cs="Times New Roman" w:ascii="Times New Roman" w:hAnsi="Times New Roman"/>
          <w:shd w:fill="FFFFFF" w:val="clear"/>
        </w:rPr>
        <w:t>Kubartov</w:t>
      </w:r>
      <w:r>
        <w:rPr>
          <w:rFonts w:eastAsia="Times New Roman" w:cs="Times New Roman" w:ascii="Times New Roman" w:hAnsi="Times New Roman"/>
        </w:rPr>
        <w:t>á et al. 2009;</w:t>
      </w:r>
      <w:r>
        <w:rPr>
          <w:rFonts w:cs="Times New Roman" w:ascii="Times New Roman" w:hAnsi="Times New Roman"/>
          <w:iCs/>
          <w:color w:val="auto"/>
        </w:rPr>
        <w:t xml:space="preserve"> Song et al. 2017) and insects through both indirect, acting as a means of introducing microorganisms, and direct means (Jacobsen et al. 2018; </w:t>
      </w:r>
      <w:r>
        <w:rPr>
          <w:rFonts w:cs="Times New Roman" w:ascii="Times New Roman" w:hAnsi="Times New Roman"/>
          <w:shd w:fill="FFFFFF" w:val="clear"/>
        </w:rPr>
        <w:t>Krivosheina</w:t>
      </w:r>
      <w:r>
        <w:rPr>
          <w:rFonts w:eastAsia="Times New Roman" w:cs="Times New Roman" w:ascii="Times New Roman" w:hAnsi="Times New Roman"/>
        </w:rPr>
        <w:t xml:space="preserve"> 2016; Ulyshen et al. 2016</w:t>
      </w:r>
      <w:r>
        <w:rPr>
          <w:rFonts w:cs="Times New Roman" w:ascii="Times New Roman" w:hAnsi="Times New Roman"/>
          <w:iCs/>
          <w:color w:val="auto"/>
        </w:rPr>
        <w:t>).</w:t>
      </w:r>
    </w:p>
    <w:p>
      <w:pPr>
        <w:pStyle w:val="Body"/>
        <w:ind w:firstLine="720"/>
        <w:rPr>
          <w:rFonts w:ascii="Times New Roman" w:hAnsi="Times New Roman" w:cs="Times New Roman"/>
          <w:iCs/>
          <w:color w:val="auto"/>
        </w:rPr>
      </w:pPr>
      <w:r>
        <w:rPr>
          <w:rFonts w:cs="Times New Roman" w:ascii="Times New Roman" w:hAnsi="Times New Roman"/>
          <w:iCs/>
          <w:color w:val="auto"/>
        </w:rPr>
      </w:r>
    </w:p>
    <w:p>
      <w:pPr>
        <w:pStyle w:val="Body"/>
        <w:ind w:firstLine="720"/>
        <w:rPr>
          <w:rFonts w:ascii="Times New Roman" w:hAnsi="Times New Roman" w:cs="Times New Roman"/>
        </w:rPr>
      </w:pPr>
      <w:r>
        <w:rPr>
          <w:rFonts w:cs="Times New Roman" w:ascii="Times New Roman" w:hAnsi="Times New Roman"/>
          <w:iCs/>
          <w:color w:val="auto"/>
        </w:rPr>
        <w:t xml:space="preserve">Previous work (Clark et al. 1990) has shown both antimicrobial and antifungal properties of volatile oil extracted from Utah juniper heartwood and bark/sapwood. </w:t>
      </w:r>
      <w:r>
        <w:rPr>
          <w:rFonts w:cs="Times New Roman" w:ascii="Times New Roman" w:hAnsi="Times New Roman"/>
          <w:i/>
          <w:color w:val="auto"/>
        </w:rPr>
        <w:t>Juniperus recurva</w:t>
      </w:r>
      <w:r>
        <w:rPr>
          <w:rFonts w:cs="Times New Roman" w:ascii="Times New Roman" w:hAnsi="Times New Roman"/>
          <w:iCs/>
          <w:color w:val="auto"/>
        </w:rPr>
        <w:t>, which is native to Nepal, was shown to contain two volatile compounds, cis-thujopsene and cedr-8-en-13-ol, that demonstrate insecticidal properties against mosquitos (Oda et al. 1977). Both compounds have been shown to be present in the trunk wood of Utah juniper (Wilson et al. 2019). Additionally, Utah juniper heartwood demonstrated termiticidal activity (Adams et al. 1988). Utah juniper’s</w:t>
      </w:r>
      <w:r>
        <w:rPr>
          <w:rFonts w:cs="Times New Roman" w:ascii="Times New Roman" w:hAnsi="Times New Roman"/>
        </w:rPr>
        <w:t xml:space="preserve"> durability, as well as abundance, lend to its popular use as fence posts (Cronquist et al. 1972); which use has also been attributed to the volatile compounds acting as preserving agents in the wood (Adams 2014). </w:t>
      </w:r>
    </w:p>
    <w:p>
      <w:pPr>
        <w:pStyle w:val="Body"/>
        <w:ind w:firstLine="720"/>
        <w:rPr>
          <w:rFonts w:ascii="Times New Roman" w:hAnsi="Times New Roman" w:cs="Times New Roman"/>
        </w:rPr>
      </w:pPr>
      <w:r>
        <w:rPr>
          <w:rFonts w:cs="Times New Roman" w:ascii="Times New Roman" w:hAnsi="Times New Roman"/>
        </w:rPr>
      </w:r>
    </w:p>
    <w:p>
      <w:pPr>
        <w:pStyle w:val="Body"/>
        <w:ind w:firstLine="720"/>
        <w:rPr>
          <w:rFonts w:ascii="Times New Roman" w:hAnsi="Times New Roman" w:cs="Times New Roman"/>
          <w:iCs/>
          <w:color w:val="auto"/>
        </w:rPr>
      </w:pPr>
      <w:r>
        <w:rPr>
          <w:rFonts w:cs="Times New Roman" w:ascii="Times New Roman" w:hAnsi="Times New Roman"/>
          <w:iCs/>
          <w:color w:val="auto"/>
        </w:rPr>
        <w:t xml:space="preserve">It was hypothesized that essential oil is retained in dead Utah juniper trees and that these volatile compounds would help slow the process of decomposition. Utilizing wildfire data between 1998-2018, the present study aimed to investigate whether essential oils remain in dead Utah juniper trunks following wildfires, to characterize any changes in the essential oil composition following tree death, and to examine the relationship between biotic decomposition influencers of the dead trees, namely fungi, bacteria, and insects. </w:t>
      </w:r>
    </w:p>
    <w:p>
      <w:pPr>
        <w:pStyle w:val="Body"/>
        <w:ind w:firstLine="720"/>
        <w:rPr>
          <w:rFonts w:ascii="Times New Roman" w:hAnsi="Times New Roman" w:cs="Times New Roman"/>
          <w:iCs/>
          <w:color w:val="auto"/>
        </w:rPr>
      </w:pPr>
      <w:r>
        <w:rPr>
          <w:rFonts w:cs="Times New Roman" w:ascii="Times New Roman" w:hAnsi="Times New Roman"/>
          <w:iCs/>
          <w:color w:val="auto"/>
        </w:rPr>
      </w:r>
    </w:p>
    <w:p>
      <w:pPr>
        <w:pStyle w:val="Body"/>
        <w:ind w:firstLine="720"/>
        <w:rPr>
          <w:rFonts w:ascii="Times New Roman" w:hAnsi="Times New Roman" w:cs="Times New Roman"/>
          <w:color w:val="4472C4" w:themeColor="accent1"/>
        </w:rPr>
      </w:pPr>
      <w:r>
        <w:rPr>
          <w:rFonts w:cs="Times New Roman" w:ascii="Times New Roman" w:hAnsi="Times New Roman"/>
          <w:iCs/>
          <w:color w:val="4472C4" w:themeColor="accent1"/>
        </w:rPr>
        <w:t>[Please add additional content throughout introduction as you see fit]</w:t>
      </w:r>
    </w:p>
    <w:p>
      <w:pPr>
        <w:pStyle w:val="Body"/>
        <w:rPr>
          <w:rFonts w:ascii="Times New Roman" w:hAnsi="Times New Roman" w:cs="Times New Roman"/>
        </w:rPr>
      </w:pPr>
      <w:r>
        <w:rPr>
          <w:rFonts w:cs="Times New Roman" w:ascii="Times New Roman" w:hAnsi="Times New Roman"/>
        </w:rPr>
      </w:r>
    </w:p>
    <w:p>
      <w:pPr>
        <w:pStyle w:val="Body"/>
        <w:jc w:val="center"/>
        <w:rPr>
          <w:rFonts w:ascii="Times New Roman" w:hAnsi="Times New Roman" w:cs="Times New Roman"/>
          <w:b/>
          <w:b/>
          <w:bCs/>
        </w:rPr>
      </w:pPr>
      <w:r>
        <w:rPr>
          <w:rFonts w:cs="Times New Roman" w:ascii="Times New Roman" w:hAnsi="Times New Roman"/>
          <w:b/>
          <w:bCs/>
        </w:rPr>
        <w:t>MATERIALS AND METHODS</w:t>
      </w:r>
    </w:p>
    <w:p>
      <w:pPr>
        <w:pStyle w:val="Body"/>
        <w:rPr>
          <w:rFonts w:ascii="Times New Roman" w:hAnsi="Times New Roman" w:cs="Times New Roman"/>
          <w:b/>
          <w:b/>
          <w:bCs/>
        </w:rPr>
      </w:pPr>
      <w:r>
        <w:rPr>
          <w:rFonts w:cs="Times New Roman" w:ascii="Times New Roman" w:hAnsi="Times New Roman"/>
          <w:b/>
          <w:bCs/>
        </w:rPr>
      </w:r>
    </w:p>
    <w:p>
      <w:pPr>
        <w:pStyle w:val="Body"/>
        <w:ind w:firstLine="720"/>
        <w:rPr>
          <w:rFonts w:ascii="Times New Roman" w:hAnsi="Times New Roman" w:cs="Times New Roman"/>
        </w:rPr>
      </w:pPr>
      <w:r>
        <w:rPr>
          <w:rFonts w:cs="Times New Roman" w:ascii="Times New Roman" w:hAnsi="Times New Roman"/>
          <w:bCs/>
          <w:i/>
        </w:rPr>
        <w:t>Juniperus osteosperma</w:t>
      </w:r>
      <w:r>
        <w:rPr>
          <w:rFonts w:cs="Times New Roman" w:ascii="Times New Roman" w:hAnsi="Times New Roman"/>
          <w:bCs/>
        </w:rPr>
        <w:t xml:space="preserve"> burnt trunks were collected from sixteen locations, one tree per site, throughout the state of Utah </w:t>
      </w:r>
      <w:r>
        <w:rPr>
          <w:rFonts w:cs="Times New Roman" w:ascii="Times New Roman" w:hAnsi="Times New Roman"/>
          <w:bCs/>
          <w:color w:val="FF0000"/>
        </w:rPr>
        <w:t>(Figure 1)</w:t>
      </w:r>
      <w:r>
        <w:rPr>
          <w:rFonts w:cs="Times New Roman" w:ascii="Times New Roman" w:hAnsi="Times New Roman"/>
          <w:bCs/>
        </w:rPr>
        <w:t xml:space="preserve">. Historical fire dates were obtained from the Bureau of Land Management’s records </w:t>
      </w:r>
      <w:r>
        <w:rPr>
          <w:rFonts w:cs="Times New Roman" w:ascii="Times New Roman" w:hAnsi="Times New Roman"/>
          <w:bCs/>
          <w:color w:val="FF0000"/>
        </w:rPr>
        <w:t>(reference needed)</w:t>
      </w:r>
      <w:r>
        <w:rPr>
          <w:rFonts w:cs="Times New Roman" w:ascii="Times New Roman" w:hAnsi="Times New Roman"/>
          <w:bCs/>
        </w:rPr>
        <w:t xml:space="preserve">. Study areas were carefully searched and burnt </w:t>
      </w:r>
      <w:r>
        <w:rPr>
          <w:rFonts w:cs="Times New Roman" w:ascii="Times New Roman" w:hAnsi="Times New Roman"/>
          <w:bCs/>
          <w:i/>
          <w:iCs/>
        </w:rPr>
        <w:t xml:space="preserve">J. osteosperma </w:t>
      </w:r>
      <w:r>
        <w:rPr>
          <w:rFonts w:cs="Times New Roman" w:ascii="Times New Roman" w:hAnsi="Times New Roman"/>
          <w:bCs/>
        </w:rPr>
        <w:t>were selected and cut with a chainsaw. The burnt trunk is defined as a 1 m, charred section (starting 0.25 m above ground) including heartwood, sapwood, cambium, and any remaining bark. Due to the lack of leaf and reproductive tissue, conventional voucher samples were unable to be obtained. However, the identity of specimens was determined through means of volatile compound analysis and, in the case of Rocky Mountain juniper, the color of the heartwood (</w:t>
      </w:r>
      <w:r>
        <w:rPr>
          <w:rFonts w:cs="Times New Roman" w:ascii="Times New Roman" w:hAnsi="Times New Roman"/>
        </w:rPr>
        <w:t xml:space="preserve">Cronquist et al. 1972; Poulson et al. 2020; Poulson et al. 2021; Wilson et al. 2019; Welsh 1993). </w:t>
      </w:r>
    </w:p>
    <w:p>
      <w:pPr>
        <w:pStyle w:val="Body"/>
        <w:ind w:firstLine="720"/>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rPr>
      </w:pPr>
      <w:r>
        <w:rPr>
          <w:rFonts w:cs="Times New Roman" w:ascii="Times New Roman" w:hAnsi="Times New Roman"/>
          <w:bCs/>
        </w:rPr>
        <w:t xml:space="preserve">Samples of burnt trunk (n=16) of </w:t>
      </w:r>
      <w:r>
        <w:rPr>
          <w:rFonts w:cs="Times New Roman" w:ascii="Times New Roman" w:hAnsi="Times New Roman"/>
          <w:bCs/>
          <w:i/>
        </w:rPr>
        <w:t>J. osteosperma</w:t>
      </w:r>
      <w:r>
        <w:rPr>
          <w:rFonts w:cs="Times New Roman" w:ascii="Times New Roman" w:hAnsi="Times New Roman"/>
          <w:bCs/>
        </w:rPr>
        <w:t xml:space="preserve"> were cut and processed as follows: 30 cm section for steam distillation and analytical analysis, 30 cm section for entomology analysis, 30 cm section for mycology and bacterial analysis, and 10 cm section for moisture analysis </w:t>
      </w:r>
      <w:r>
        <w:rPr>
          <w:rFonts w:cs="Times New Roman" w:ascii="Times New Roman" w:hAnsi="Times New Roman"/>
          <w:bCs/>
          <w:color w:val="FF0000"/>
        </w:rPr>
        <w:t>(Figure 2)</w:t>
      </w:r>
      <w:r>
        <w:rPr>
          <w:rFonts w:cs="Times New Roman" w:ascii="Times New Roman" w:hAnsi="Times New Roman"/>
          <w:bCs/>
        </w:rPr>
        <w:t xml:space="preserve">. All sections were stored in a sealed bag at ambient temperature and out of direct sunlight.  </w:t>
      </w:r>
    </w:p>
    <w:p>
      <w:pPr>
        <w:pStyle w:val="Body"/>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rPr>
      </w:pPr>
      <w:r>
        <w:rPr>
          <w:rFonts w:cs="Times New Roman" w:ascii="Times New Roman" w:hAnsi="Times New Roman"/>
          <w:bCs/>
        </w:rPr>
        <w:t xml:space="preserve">Laboratory scale distillation was as follows: 3 L of water added to the bottom of a 12 L distillation chamber (Albrigi Luigi S.R.L., Italy), plant material chipped and accurately weighed before being added to the distillation chamber, distillation for 4 hours by direct steam, essential oil separated by a cooled condenser and Florentine flask. Essential oil samples were filtered and stored in a sealed amber glass bottle until analysis. </w:t>
      </w:r>
    </w:p>
    <w:p>
      <w:pPr>
        <w:pStyle w:val="Body"/>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rPr>
      </w:pPr>
      <w:r>
        <w:rPr>
          <w:rFonts w:cs="Times New Roman" w:ascii="Times New Roman" w:hAnsi="Times New Roman"/>
          <w:bCs/>
        </w:rPr>
        <w:t xml:space="preserve">Essential oils were analyzed, and volatile compounds identified by GC-MS using an Agilent 7890B GC/5977B MSD and J&amp;W DB-5, 0.25 mm x 60 m, 0.25 μm film thickness, fused silica capillary column. Operating conditions: 0.1 μL of neat sample, 150:1 split ratio, initial oven temperature of 40 °C with an initial hold time of 5 minutes, oven ramp rate of 4.5 °C per minute to 310 °C with a hold time of 5 minutes. The electron ionization energy was 70 eV, scan range 35–650 amu, scan rate 2.4 scans per second, source temperature 230 °C, and quadrupole temperature 150 °C. Volatile compounds were identified using the Adams volatile oil library (Adams 2007, pdf at www.juniperus.org) using Chemstation library search in conjunction with retention indices. Note that in some samples widdrol/cedrol elute as single peaks, but their amounts are determined by the ratio of masses 68 and 79 (limonene), 77 and 93 (β-phellandrene), 151 (widdrol), and 150 (cedrol). Volatile compounds were quantified and are reported as a relative area percent by GC-FID using an Agilent 7890B and J&amp;W DB-5, 0.25 mm x 60 m, 0.25 μm film thickness, fused silica capillary column. Operating conditions: 0.1 μL of sample (5% soln. for essential oils, 1% for reference compounds in hexane), 25:1 split ratio, initial oven temperature at 40 °C with an initial hold time of 2 minutes, oven ramp rate of 3.0 °C per minute to 250 °C with a hold time of 3 minutes. For quantification, compounds were identified using retention indices coupled with retention time data of reference compounds. </w:t>
      </w:r>
    </w:p>
    <w:p>
      <w:pPr>
        <w:pStyle w:val="Body"/>
        <w:ind w:firstLine="720"/>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rPr>
      </w:pPr>
      <w:r>
        <w:rPr>
          <w:rFonts w:cs="Times New Roman" w:ascii="Times New Roman" w:hAnsi="Times New Roman"/>
          <w:bCs/>
        </w:rPr>
        <w:t>The percent yield was calculated as the ratio of mass of processed plant material immediately before distillation to the mass of essential oil produced, multiplied by 100.</w:t>
      </w:r>
    </w:p>
    <w:p>
      <w:pPr>
        <w:pStyle w:val="Body"/>
        <w:ind w:firstLine="720"/>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t>[Entomology method]</w:t>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t>[Microbial method]</w:t>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t>[Water Content method]</w:t>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t xml:space="preserve">[Statistical method(s)] </w:t>
      </w:r>
      <w:r>
        <w:rPr>
          <w:rFonts w:cs="Times New Roman" w:ascii="Times New Roman" w:hAnsi="Times New Roman"/>
          <w:bCs/>
          <w:color w:val="auto"/>
        </w:rPr>
        <w:t>Spearman’s correlation was used to evaluate the relationship between variables over a range of time.</w:t>
      </w:r>
      <w:r>
        <w:rPr>
          <w:rFonts w:cs="Times New Roman" w:ascii="Times New Roman" w:hAnsi="Times New Roman"/>
          <w:bCs/>
          <w:color w:val="4472C4" w:themeColor="accent1"/>
        </w:rPr>
        <w:t xml:space="preserve"> </w:t>
      </w:r>
    </w:p>
    <w:p>
      <w:pPr>
        <w:pStyle w:val="Body"/>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Cs/>
        </w:rPr>
      </w:pPr>
      <w:r>
        <w:rPr>
          <w:rFonts w:cs="Times New Roman" w:ascii="Times New Roman" w:hAnsi="Times New Roman"/>
          <w:b/>
          <w:bCs/>
        </w:rPr>
        <w:t>RESULTS AND DISCUSSION</w:t>
      </w:r>
    </w:p>
    <w:p>
      <w:pPr>
        <w:pStyle w:val="Body"/>
        <w:rPr>
          <w:rFonts w:ascii="Times New Roman" w:hAnsi="Times New Roman" w:cs="Times New Roman"/>
          <w:b/>
          <w:b/>
          <w:bCs/>
        </w:rPr>
      </w:pPr>
      <w:r>
        <w:rPr>
          <w:rFonts w:cs="Times New Roman" w:ascii="Times New Roman" w:hAnsi="Times New Roman"/>
          <w:b/>
          <w:bCs/>
        </w:rPr>
      </w:r>
    </w:p>
    <w:p>
      <w:pPr>
        <w:pStyle w:val="Body"/>
        <w:ind w:firstLine="720"/>
        <w:rPr>
          <w:rFonts w:ascii="Times New Roman" w:hAnsi="Times New Roman" w:cs="Times New Roman"/>
          <w:bCs/>
          <w:color w:val="auto"/>
        </w:rPr>
      </w:pPr>
      <w:r>
        <w:rPr>
          <w:rFonts w:cs="Times New Roman" w:ascii="Times New Roman" w:hAnsi="Times New Roman"/>
          <w:bCs/>
          <w:color w:val="auto"/>
        </w:rPr>
        <w:t>It should be noted that the overall health and condition of each tree, prior to being burnt, is unknown.</w:t>
      </w:r>
    </w:p>
    <w:p>
      <w:pPr>
        <w:pStyle w:val="Body"/>
        <w:ind w:firstLine="720"/>
        <w:rPr>
          <w:rFonts w:ascii="Times New Roman" w:hAnsi="Times New Roman" w:cs="Times New Roman"/>
          <w:bCs/>
          <w:color w:val="auto"/>
        </w:rPr>
      </w:pPr>
      <w:r>
        <w:rPr>
          <w:rFonts w:cs="Times New Roman" w:ascii="Times New Roman" w:hAnsi="Times New Roman"/>
          <w:bCs/>
          <w:color w:val="auto"/>
        </w:rPr>
      </w:r>
    </w:p>
    <w:p>
      <w:pPr>
        <w:pStyle w:val="Body"/>
        <w:ind w:firstLine="720"/>
        <w:rPr>
          <w:rFonts w:ascii="Times New Roman" w:hAnsi="Times New Roman" w:eastAsia="Times New Roman" w:cs="Times New Roman"/>
          <w:color w:val="auto"/>
        </w:rPr>
      </w:pPr>
      <w:r>
        <w:rPr>
          <w:rFonts w:cs="Times New Roman" w:ascii="Times New Roman" w:hAnsi="Times New Roman"/>
          <w:bCs/>
          <w:color w:val="auto"/>
        </w:rPr>
        <w:t xml:space="preserve">The aromatic profiles of each trunk are detailed in Table 1. Interestingly, while </w:t>
      </w:r>
      <w:r>
        <w:rPr>
          <w:rFonts w:cs="Times New Roman" w:ascii="Times New Roman" w:hAnsi="Times New Roman"/>
          <w:color w:val="auto"/>
        </w:rPr>
        <w:t xml:space="preserve">α-pinene and </w:t>
      </w:r>
      <w:r>
        <w:rPr>
          <w:rFonts w:eastAsia="Times New Roman" w:cs="Times New Roman" w:ascii="Times New Roman" w:hAnsi="Times New Roman"/>
          <w:color w:val="auto"/>
        </w:rPr>
        <w:t>δ-3-carene were prominent compounds in Utah juniper trunk essential oil from living trees (Wilson et al. 2019), neither greatly contributed to the profile of burnt Utah juniper trees (</w:t>
      </w:r>
      <w:r>
        <w:rPr>
          <w:rFonts w:cs="Times New Roman" w:ascii="Times New Roman" w:hAnsi="Times New Roman"/>
          <w:color w:val="auto"/>
        </w:rPr>
        <w:t xml:space="preserve">α-pinene: from nd to 3.9%; </w:t>
      </w:r>
      <w:r>
        <w:rPr>
          <w:rFonts w:eastAsia="Times New Roman" w:cs="Times New Roman" w:ascii="Times New Roman" w:hAnsi="Times New Roman"/>
          <w:color w:val="auto"/>
        </w:rPr>
        <w:t xml:space="preserve">δ-3-carene: nd). It is possible that these lighter fractions are readily lost to the atmosphere or that they are primarily contained in the outer layers of the trunk, which were burnt. Prominent compounds (defined as an average area %, from all samples, &gt;5) include α-cedrene (10.4%), cis-thujopsene (19.8%), widdrol (7.6%), cedrol (20.1%), and cedr-8-en-13-ol (5.7%). Based on the date when these trees were burnt, older trunks display an increasing relative abundance of more volatile fractions (α-cedrene, cis-thujopsene, widdrol) (Figure 3) and decreasing relative abundance of less volatile fractions (cedrol, cedr-8-en-13-ol) (Figure 4). </w:t>
      </w:r>
    </w:p>
    <w:p>
      <w:pPr>
        <w:pStyle w:val="Body"/>
        <w:ind w:firstLine="720"/>
        <w:rPr>
          <w:rFonts w:ascii="Times New Roman" w:hAnsi="Times New Roman" w:eastAsia="Times New Roman" w:cs="Times New Roman"/>
          <w:color w:val="auto"/>
        </w:rPr>
      </w:pPr>
      <w:r>
        <w:rPr>
          <w:rFonts w:eastAsia="Times New Roman" w:cs="Times New Roman" w:ascii="Times New Roman" w:hAnsi="Times New Roman"/>
          <w:color w:val="auto"/>
        </w:rPr>
      </w:r>
    </w:p>
    <w:p>
      <w:pPr>
        <w:pStyle w:val="Body"/>
        <w:ind w:firstLine="720"/>
        <w:rPr>
          <w:rFonts w:ascii="Times New Roman" w:hAnsi="Times New Roman" w:eastAsia="Times New Roman" w:cs="Times New Roman"/>
          <w:color w:val="auto"/>
        </w:rPr>
      </w:pPr>
      <w:r>
        <w:rPr>
          <w:rFonts w:eastAsia="Times New Roman" w:cs="Times New Roman" w:ascii="Times New Roman" w:hAnsi="Times New Roman"/>
          <w:color w:val="auto"/>
        </w:rPr>
        <w:t xml:space="preserve">The raw material mass and essential oil yield are detailed in Table 2. Not surprisingly, older trees displayed a trend of containing less water and, as a result, a higher content (relative to the weight of the raw material) of essential oil (Figure 5). There is a moderate positive correlation (0.5054) between essential oil and water content in brunt trunks. </w:t>
      </w:r>
    </w:p>
    <w:p>
      <w:pPr>
        <w:pStyle w:val="Body"/>
        <w:ind w:firstLine="720"/>
        <w:rPr>
          <w:rFonts w:ascii="Times New Roman" w:hAnsi="Times New Roman" w:eastAsia="Times New Roman" w:cs="Times New Roman"/>
          <w:color w:val="auto"/>
        </w:rPr>
      </w:pPr>
      <w:r>
        <w:rPr>
          <w:rFonts w:eastAsia="Times New Roman" w:cs="Times New Roman" w:ascii="Times New Roman" w:hAnsi="Times New Roman"/>
          <w:color w:val="auto"/>
        </w:rPr>
      </w:r>
    </w:p>
    <w:p>
      <w:pPr>
        <w:pStyle w:val="Body"/>
        <w:ind w:firstLine="720"/>
        <w:rPr>
          <w:rFonts w:ascii="Times New Roman" w:hAnsi="Times New Roman" w:cs="Times New Roman"/>
          <w:bCs/>
          <w:color w:val="4472C4" w:themeColor="accent1"/>
        </w:rPr>
      </w:pPr>
      <w:r>
        <w:rPr>
          <w:rFonts w:cs="Times New Roman" w:ascii="Times New Roman" w:hAnsi="Times New Roman"/>
          <w:bCs/>
          <w:color w:val="4472C4" w:themeColor="accent1"/>
        </w:rPr>
        <w:t>[Results and discussion: please add additional content as you see fit]</w:t>
      </w:r>
    </w:p>
    <w:p>
      <w:pPr>
        <w:pStyle w:val="Body"/>
        <w:rPr>
          <w:rFonts w:ascii="Times New Roman" w:hAnsi="Times New Roman" w:cs="Times New Roman"/>
          <w:bCs/>
          <w:strike/>
        </w:rPr>
      </w:pPr>
      <w:r>
        <w:rPr>
          <w:rFonts w:cs="Times New Roman" w:ascii="Times New Roman" w:hAnsi="Times New Roman"/>
          <w:bCs/>
          <w:strike/>
        </w:rPr>
      </w:r>
    </w:p>
    <w:p>
      <w:pPr>
        <w:pStyle w:val="Body"/>
        <w:rPr>
          <w:rFonts w:ascii="Times New Roman" w:hAnsi="Times New Roman" w:cs="Times New Roman"/>
          <w:bCs/>
          <w:strike w:val="false"/>
          <w:dstrike w:val="false"/>
        </w:rPr>
      </w:pPr>
      <w:r>
        <w:rPr>
          <w:rFonts w:cs="Times New Roman" w:ascii="Times New Roman" w:hAnsi="Times New Roman"/>
          <w:bCs/>
          <w:strike w:val="false"/>
          <w:dstrike w:val="false"/>
        </w:rPr>
        <w:tab/>
        <w:t>Sequence data has been deposited in the Sequence Read Archive under accession PRJNA730829.</w:t>
      </w:r>
    </w:p>
    <w:p>
      <w:pPr>
        <w:pStyle w:val="Body"/>
        <w:rPr>
          <w:rFonts w:ascii="Times New Roman" w:hAnsi="Times New Roman" w:cs="Times New Roman"/>
          <w:bCs/>
          <w:strike w:val="false"/>
          <w:dstrike w:val="false"/>
        </w:rPr>
      </w:pPr>
      <w:r>
        <w:rPr>
          <w:rFonts w:cs="Times New Roman" w:ascii="Times New Roman" w:hAnsi="Times New Roman"/>
          <w:bCs/>
          <w:strike w:val="false"/>
          <w:dstrike w:val="false"/>
        </w:rPr>
      </w:r>
    </w:p>
    <w:p>
      <w:pPr>
        <w:pStyle w:val="Body"/>
        <w:ind w:firstLine="720"/>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rPr>
      </w:pPr>
      <w:r>
        <w:rPr>
          <w:rFonts w:cs="Times New Roman" w:ascii="Times New Roman" w:hAnsi="Times New Roman"/>
          <w:bCs/>
        </w:rPr>
      </w:r>
    </w:p>
    <w:p>
      <w:pPr>
        <w:pStyle w:val="Body"/>
        <w:ind w:firstLine="720"/>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Cs/>
        </w:rPr>
      </w:pPr>
      <w:r>
        <w:rPr>
          <w:rFonts w:cs="Times New Roman" w:ascii="Times New Roman" w:hAnsi="Times New Roman"/>
          <w:b/>
          <w:bCs/>
        </w:rPr>
        <w:t>CONCLUSIONS</w:t>
      </w:r>
    </w:p>
    <w:p>
      <w:pPr>
        <w:pStyle w:val="Body"/>
        <w:rPr>
          <w:rFonts w:ascii="Times New Roman" w:hAnsi="Times New Roman" w:cs="Times New Roman"/>
        </w:rPr>
      </w:pPr>
      <w:r>
        <w:rPr>
          <w:rFonts w:cs="Times New Roman" w:ascii="Times New Roman" w:hAnsi="Times New Roman"/>
          <w:b/>
          <w:bCs/>
        </w:rPr>
        <w:tab/>
      </w:r>
      <w:r>
        <w:rPr>
          <w:rFonts w:cs="Times New Roman" w:ascii="Times New Roman" w:hAnsi="Times New Roman"/>
          <w:color w:val="FF0000"/>
        </w:rPr>
        <w:t>[Conclusion: will be written later]</w:t>
      </w:r>
    </w:p>
    <w:p>
      <w:pPr>
        <w:pStyle w:val="Body"/>
        <w:rPr>
          <w:rFonts w:ascii="Times New Roman" w:hAnsi="Times New Roman" w:cs="Times New Roman"/>
          <w:b/>
          <w:b/>
          <w:bCs/>
        </w:rPr>
      </w:pPr>
      <w:r>
        <w:rPr>
          <w:rFonts w:cs="Times New Roman" w:ascii="Times New Roman" w:hAnsi="Times New Roman"/>
          <w:b/>
          <w:bCs/>
        </w:rPr>
      </w:r>
    </w:p>
    <w:p>
      <w:pPr>
        <w:pStyle w:val="Body"/>
        <w:jc w:val="center"/>
        <w:rPr>
          <w:rFonts w:ascii="Times New Roman" w:hAnsi="Times New Roman" w:cs="Times New Roman"/>
          <w:b/>
          <w:b/>
          <w:bCs/>
        </w:rPr>
      </w:pPr>
      <w:r>
        <w:rPr>
          <w:rFonts w:cs="Times New Roman" w:ascii="Times New Roman" w:hAnsi="Times New Roman"/>
          <w:b/>
          <w:bCs/>
        </w:rPr>
        <w:t>ACKNOWLEDGEMENTS</w:t>
      </w:r>
    </w:p>
    <w:p>
      <w:pPr>
        <w:pStyle w:val="Body"/>
        <w:rPr>
          <w:rFonts w:ascii="Times New Roman" w:hAnsi="Times New Roman" w:cs="Times New Roman"/>
          <w:b/>
          <w:b/>
          <w:bCs/>
        </w:rPr>
      </w:pPr>
      <w:r>
        <w:rPr>
          <w:rFonts w:cs="Times New Roman" w:ascii="Times New Roman" w:hAnsi="Times New Roman"/>
          <w:b/>
          <w:bCs/>
        </w:rPr>
      </w:r>
    </w:p>
    <w:p>
      <w:pPr>
        <w:pStyle w:val="Body"/>
        <w:ind w:firstLine="720"/>
        <w:rPr>
          <w:rFonts w:ascii="Times New Roman" w:hAnsi="Times New Roman" w:cs="Times New Roman"/>
          <w:bCs/>
        </w:rPr>
      </w:pPr>
      <w:r>
        <w:rPr>
          <w:rFonts w:cs="Times New Roman" w:ascii="Times New Roman" w:hAnsi="Times New Roman"/>
          <w:bCs/>
        </w:rPr>
        <w:t xml:space="preserve">The authors wish to thank the following individuals and organizations for their assistance with the project: Erin Riggs (UVU), Michael Stevens (UVU), Alisa Baadsgaard, the D. Gary Young Research Institute for providing support and funding for this project, and the Utah Bureau of Land Management (BLM) for permitting research on public lands. </w:t>
      </w:r>
      <w:r>
        <w:rPr>
          <w:rFonts w:cs="Times New Roman" w:ascii="Times New Roman" w:hAnsi="Times New Roman"/>
          <w:bCs/>
          <w:color w:val="4472C4" w:themeColor="accent1"/>
        </w:rPr>
        <w:t>[Please add additional names/organizations as you see fit]</w:t>
      </w:r>
    </w:p>
    <w:p>
      <w:pPr>
        <w:pStyle w:val="Body"/>
        <w:rPr>
          <w:rFonts w:ascii="Times New Roman" w:hAnsi="Times New Roman" w:cs="Times New Roman"/>
          <w:b/>
          <w:b/>
          <w:bCs/>
        </w:rPr>
      </w:pPr>
      <w:r>
        <w:rPr>
          <w:rFonts w:cs="Times New Roman" w:ascii="Times New Roman" w:hAnsi="Times New Roman"/>
          <w:b/>
          <w:bCs/>
        </w:rPr>
      </w:r>
    </w:p>
    <w:p>
      <w:pPr>
        <w:pStyle w:val="Body"/>
        <w:jc w:val="center"/>
        <w:rPr>
          <w:rFonts w:ascii="Times New Roman" w:hAnsi="Times New Roman" w:cs="Times New Roman"/>
          <w:b/>
          <w:b/>
          <w:bCs/>
        </w:rPr>
      </w:pPr>
      <w:r>
        <w:rPr>
          <w:rFonts w:cs="Times New Roman" w:ascii="Times New Roman" w:hAnsi="Times New Roman"/>
          <w:b/>
          <w:bCs/>
        </w:rPr>
        <w:t>LITERATURE CITED</w:t>
      </w:r>
    </w:p>
    <w:p>
      <w:pPr>
        <w:pStyle w:val="Body"/>
        <w:rPr>
          <w:rFonts w:ascii="Times New Roman" w:hAnsi="Times New Roman" w:cs="Times New Roman"/>
        </w:rPr>
      </w:pPr>
      <w:r>
        <w:rPr>
          <w:rFonts w:cs="Times New Roman" w:ascii="Times New Roman" w:hAnsi="Times New Roman"/>
        </w:rPr>
      </w:r>
    </w:p>
    <w:p>
      <w:pPr>
        <w:pStyle w:val="EndNoteBibliography"/>
        <w:ind w:left="720" w:hanging="720"/>
        <w:rPr>
          <w:rFonts w:ascii="Times New Roman" w:hAnsi="Times New Roman" w:eastAsia="Times New Roman" w:cs="Times New Roman"/>
        </w:rPr>
      </w:pPr>
      <w:r>
        <w:rPr>
          <w:rFonts w:eastAsia="Times New Roman" w:cs="Times New Roman" w:ascii="Times New Roman" w:hAnsi="Times New Roman"/>
        </w:rPr>
        <w:t>Adams, R.P. 2007. Identification of essential oil components by gas chromatography/mass spectrometry. 4</w:t>
      </w:r>
      <w:r>
        <w:rPr>
          <w:rFonts w:eastAsia="Times New Roman" w:cs="Times New Roman" w:ascii="Times New Roman" w:hAnsi="Times New Roman"/>
          <w:vertAlign w:val="superscript"/>
        </w:rPr>
        <w:t>th</w:t>
      </w:r>
      <w:r>
        <w:rPr>
          <w:rFonts w:eastAsia="Times New Roman" w:cs="Times New Roman" w:ascii="Times New Roman" w:hAnsi="Times New Roman"/>
        </w:rPr>
        <w:t xml:space="preserve"> ed. Allured Publ., Carol Stream, IL.</w:t>
      </w:r>
    </w:p>
    <w:p>
      <w:pPr>
        <w:pStyle w:val="EndNoteBibliography"/>
        <w:ind w:left="720" w:hanging="720"/>
        <w:rPr>
          <w:rFonts w:ascii="Times New Roman" w:hAnsi="Times New Roman" w:eastAsia="Times New Roman" w:cs="Times New Roman"/>
        </w:rPr>
      </w:pPr>
      <w:r>
        <w:rPr>
          <w:rFonts w:eastAsia="Times New Roman" w:cs="Times New Roman" w:ascii="Times New Roman" w:hAnsi="Times New Roman"/>
        </w:rPr>
        <w:t xml:space="preserve">Adams, R.P. 2014. </w:t>
      </w:r>
      <w:r>
        <w:rPr>
          <w:rFonts w:eastAsia="Times New Roman" w:cs="Times New Roman" w:ascii="Times New Roman" w:hAnsi="Times New Roman"/>
          <w:i/>
          <w:iCs/>
        </w:rPr>
        <w:t>Junipers of the world: the genus Juniperus.</w:t>
      </w:r>
      <w:r>
        <w:rPr>
          <w:rFonts w:eastAsia="Times New Roman" w:cs="Times New Roman" w:ascii="Times New Roman" w:hAnsi="Times New Roman"/>
        </w:rPr>
        <w:t xml:space="preserve"> Trafford Publishing.</w:t>
      </w:r>
    </w:p>
    <w:p>
      <w:pPr>
        <w:pStyle w:val="EndNoteBibliography"/>
        <w:ind w:left="720" w:hanging="720"/>
        <w:rPr>
          <w:rFonts w:ascii="Times New Roman" w:hAnsi="Times New Roman" w:eastAsia="Times New Roman" w:cs="Times New Roman"/>
        </w:rPr>
      </w:pPr>
      <w:r>
        <w:rPr>
          <w:rFonts w:eastAsia="Times New Roman" w:cs="Times New Roman" w:ascii="Times New Roman" w:hAnsi="Times New Roman"/>
        </w:rPr>
        <w:t xml:space="preserve">Adams, R.P., McDaniel, C.A., Carter, F.L. 1988. Termiticidal activities in the heartwood, bark/sapwood and leaves of Juniperus species from the United States. </w:t>
      </w:r>
      <w:r>
        <w:rPr>
          <w:rFonts w:eastAsia="Times New Roman" w:cs="Times New Roman" w:ascii="Times New Roman" w:hAnsi="Times New Roman"/>
          <w:i/>
          <w:iCs/>
        </w:rPr>
        <w:t>Biochemical Systematics and Ecology, 16</w:t>
      </w:r>
      <w:r>
        <w:rPr>
          <w:rFonts w:eastAsia="Times New Roman" w:cs="Times New Roman" w:ascii="Times New Roman" w:hAnsi="Times New Roman"/>
        </w:rPr>
        <w:t>(5), pp.453-456.</w:t>
      </w:r>
    </w:p>
    <w:p>
      <w:pPr>
        <w:pStyle w:val="EndNoteBibliography"/>
        <w:ind w:left="720" w:hanging="720"/>
        <w:rPr>
          <w:rFonts w:ascii="Times New Roman" w:hAnsi="Times New Roman" w:eastAsia="Times New Roman" w:cs="Times New Roman"/>
        </w:rPr>
      </w:pPr>
      <w:r>
        <w:rPr>
          <w:rFonts w:eastAsia="Times New Roman" w:cs="Times New Roman" w:ascii="Times New Roman" w:hAnsi="Times New Roman"/>
        </w:rPr>
        <w:t xml:space="preserve">Clark, A.M., McChesney, J.D., Adams, R.P. 1990. Antimicrobial properties of heartwood, bark/sapwood and leaves of Juniperus species. </w:t>
      </w:r>
      <w:r>
        <w:rPr>
          <w:rFonts w:eastAsia="Times New Roman" w:cs="Times New Roman" w:ascii="Times New Roman" w:hAnsi="Times New Roman"/>
          <w:i/>
          <w:iCs/>
        </w:rPr>
        <w:t>Phytotherapy Research, 4</w:t>
      </w:r>
      <w:r>
        <w:rPr>
          <w:rFonts w:eastAsia="Times New Roman" w:cs="Times New Roman" w:ascii="Times New Roman" w:hAnsi="Times New Roman"/>
        </w:rPr>
        <w:t xml:space="preserve">(1), pp.15-19. </w:t>
      </w:r>
    </w:p>
    <w:p>
      <w:pPr>
        <w:pStyle w:val="EndNoteBibliography"/>
        <w:ind w:left="720" w:hanging="720"/>
        <w:rPr>
          <w:rFonts w:ascii="Times New Roman" w:hAnsi="Times New Roman" w:cs="Times New Roman"/>
        </w:rPr>
      </w:pPr>
      <w:r>
        <w:rPr>
          <w:rFonts w:eastAsia="Times New Roman" w:cs="Times New Roman" w:ascii="Times New Roman" w:hAnsi="Times New Roman"/>
        </w:rPr>
        <w:t>Cronquist, A., Holmgren, A. H., Holmgren, N. H., Reveal, J. L., &amp; Holmgren, P. I. 1972. Intermountain flora-vascular plants of the intermountain west, USA, Vol. 1.</w:t>
      </w:r>
    </w:p>
    <w:p>
      <w:pPr>
        <w:pStyle w:val="EndNoteBibliography"/>
        <w:ind w:left="720" w:hanging="720"/>
        <w:rPr>
          <w:rFonts w:ascii="Times New Roman" w:hAnsi="Times New Roman" w:cs="Times New Roman"/>
        </w:rPr>
      </w:pPr>
      <w:r>
        <w:rPr>
          <w:rFonts w:cs="Times New Roman" w:ascii="Times New Roman" w:hAnsi="Times New Roman"/>
        </w:rPr>
        <w:t>Gruell, George E. 1999. Historical and modern roles of fire in pinyon-juniper. In: Monsen, Stephen B.; Stevens, Richard, comps. Proceedings: ecology and management of pinyon-juniper communities within the Interior West; 1997 September 15-18; Provo, UT. Proc. RMRS-P-9. Ogden, UT: U.S. Department of Agriculture, Forest Service, Rocky Mountain Research Station. p. 24-28.</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Jacobsen, R.M., Sverdrup-</w:t>
      </w:r>
      <w:r>
        <w:rPr>
          <w:rFonts w:eastAsia="Times New Roman" w:cs="Times New Roman" w:ascii="Times New Roman" w:hAnsi="Times New Roman"/>
        </w:rPr>
        <w:t xml:space="preserve"> Thygeson, A., Kauserud, H., Mundra, S. and Birkemoe, T., 2018. Exclusion of invertebrates influences saprotrophic fungal community and wood decay rate in an experimental field study. </w:t>
      </w:r>
      <w:r>
        <w:rPr>
          <w:rFonts w:eastAsia="Times New Roman" w:cs="Times New Roman" w:ascii="Times New Roman" w:hAnsi="Times New Roman"/>
          <w:i/>
          <w:iCs/>
        </w:rPr>
        <w:t>Functional Ecology</w:t>
      </w:r>
      <w:r>
        <w:rPr>
          <w:rFonts w:eastAsia="Times New Roman" w:cs="Times New Roman" w:ascii="Times New Roman" w:hAnsi="Times New Roman"/>
        </w:rPr>
        <w:t xml:space="preserve">, </w:t>
      </w:r>
      <w:r>
        <w:rPr>
          <w:rFonts w:eastAsia="Times New Roman" w:cs="Times New Roman" w:ascii="Times New Roman" w:hAnsi="Times New Roman"/>
          <w:i/>
          <w:iCs/>
        </w:rPr>
        <w:t>32</w:t>
      </w:r>
      <w:r>
        <w:rPr>
          <w:rFonts w:eastAsia="Times New Roman" w:cs="Times New Roman" w:ascii="Times New Roman" w:hAnsi="Times New Roman"/>
        </w:rPr>
        <w:t>(11), pp.2571-2582.</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 xml:space="preserve">Janusz, G., </w:t>
      </w:r>
      <w:r>
        <w:rPr>
          <w:rFonts w:eastAsia="Times New Roman" w:cs="Times New Roman" w:ascii="Times New Roman" w:hAnsi="Times New Roman"/>
        </w:rPr>
        <w:t xml:space="preserve">Pawlik, A., Sulej, J., Świderska-Burek, U., Jarosz-Wilkołazka, A. and Paszczyński, A., 2017. Lignin degradation: microorganisms, enzymes involved, genomes analysis and evolution. </w:t>
      </w:r>
      <w:r>
        <w:rPr>
          <w:rFonts w:eastAsia="Times New Roman" w:cs="Times New Roman" w:ascii="Times New Roman" w:hAnsi="Times New Roman"/>
          <w:i/>
          <w:iCs/>
        </w:rPr>
        <w:t>FEMS microbiology reviews</w:t>
      </w:r>
      <w:r>
        <w:rPr>
          <w:rFonts w:eastAsia="Times New Roman" w:cs="Times New Roman" w:ascii="Times New Roman" w:hAnsi="Times New Roman"/>
        </w:rPr>
        <w:t xml:space="preserve">, </w:t>
      </w:r>
      <w:r>
        <w:rPr>
          <w:rFonts w:eastAsia="Times New Roman" w:cs="Times New Roman" w:ascii="Times New Roman" w:hAnsi="Times New Roman"/>
          <w:i/>
          <w:iCs/>
        </w:rPr>
        <w:t>41</w:t>
      </w:r>
      <w:r>
        <w:rPr>
          <w:rFonts w:eastAsia="Times New Roman" w:cs="Times New Roman" w:ascii="Times New Roman" w:hAnsi="Times New Roman"/>
        </w:rPr>
        <w:t>(6), pp.941-962.</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 xml:space="preserve">Krivosheina, N.P., 2016. Necrosaprophagous insects in xylophilous communities: Larvae of the genus Solva (Diptera, Xylomyidae). </w:t>
      </w:r>
      <w:r>
        <w:rPr>
          <w:rFonts w:cs="Times New Roman" w:ascii="Times New Roman" w:hAnsi="Times New Roman"/>
          <w:i/>
          <w:iCs/>
          <w:shd w:fill="FFFFFF" w:val="clear"/>
        </w:rPr>
        <w:t>Entomological Review</w:t>
      </w:r>
      <w:r>
        <w:rPr>
          <w:rFonts w:cs="Times New Roman" w:ascii="Times New Roman" w:hAnsi="Times New Roman"/>
          <w:shd w:fill="FFFFFF" w:val="clear"/>
        </w:rPr>
        <w:t>, 96(3), pp.375-387.</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Kubartov</w:t>
      </w:r>
      <w:r>
        <w:rPr>
          <w:rFonts w:eastAsia="Times New Roman" w:cs="Times New Roman" w:ascii="Times New Roman" w:hAnsi="Times New Roman"/>
        </w:rPr>
        <w:t>á</w:t>
      </w:r>
      <w:r>
        <w:rPr>
          <w:rFonts w:cs="Times New Roman" w:ascii="Times New Roman" w:hAnsi="Times New Roman"/>
          <w:shd w:fill="FFFFFF" w:val="clear"/>
        </w:rPr>
        <w:t xml:space="preserve">, A., Ranger, J., Berthelin, J., &amp; Beguiristain, t., 2009. Diversity and decomposing ability of saprophytic fungi from temperate forest litter. </w:t>
      </w:r>
      <w:r>
        <w:rPr>
          <w:rFonts w:cs="Times New Roman" w:ascii="Times New Roman" w:hAnsi="Times New Roman"/>
          <w:i/>
          <w:iCs/>
          <w:shd w:fill="FFFFFF" w:val="clear"/>
        </w:rPr>
        <w:t>Microbial Ecology</w:t>
      </w:r>
      <w:r>
        <w:rPr>
          <w:rFonts w:cs="Times New Roman" w:ascii="Times New Roman" w:hAnsi="Times New Roman"/>
          <w:shd w:fill="FFFFFF" w:val="clear"/>
        </w:rPr>
        <w:t>, 58(1), pp.98-107.</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Miller, R.F., and R.J. Tausch. 2001. The role of fire in pinyon and juniper woodlands: a descriptive analysis. Pages 15–30 in K.E.M. Galley and T.P. Wilson (eds.). Proceedings of the Invasive Species Workshop: the Role of Fire in the Control and Spread of Invasive Species. Fire Conference 2000: the First National Congress on Fire Ecology, Prevention, and Management. Miscellaneous Publication No. 11, Tall Timbers Research Station, Tallahassee, FL.</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 xml:space="preserve">Oda, J.I., Ando, N., Nakajima, Y., Inouye, Y. 1977. Studies on insecticidal constituents of Juniperus recurva Buch. </w:t>
      </w:r>
      <w:r>
        <w:rPr>
          <w:rFonts w:cs="Times New Roman" w:ascii="Times New Roman" w:hAnsi="Times New Roman"/>
          <w:i/>
          <w:iCs/>
          <w:shd w:fill="FFFFFF" w:val="clear"/>
        </w:rPr>
        <w:t>Agricultural and Biological Chemistry, 41</w:t>
      </w:r>
      <w:r>
        <w:rPr>
          <w:rFonts w:cs="Times New Roman" w:ascii="Times New Roman" w:hAnsi="Times New Roman"/>
          <w:shd w:fill="FFFFFF" w:val="clear"/>
        </w:rPr>
        <w:t xml:space="preserve">(1), pp.201-204. </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 xml:space="preserve">Poulson, A., T. M. Wilson, C. Packer, R. E. Carlson, and R. M. Buch. 2021. Aromatic profiles of trunk, limb, and leaf essential oils of </w:t>
      </w:r>
      <w:r>
        <w:rPr>
          <w:rFonts w:cs="Times New Roman" w:ascii="Times New Roman" w:hAnsi="Times New Roman"/>
          <w:i/>
          <w:iCs/>
          <w:shd w:fill="FFFFFF" w:val="clear"/>
        </w:rPr>
        <w:t>Juniperus scopulorum</w:t>
      </w:r>
      <w:r>
        <w:rPr>
          <w:rFonts w:cs="Times New Roman" w:ascii="Times New Roman" w:hAnsi="Times New Roman"/>
          <w:shd w:fill="FFFFFF" w:val="clear"/>
        </w:rPr>
        <w:t xml:space="preserve"> (Cupressaceae) from Utah. Phytologia 103(1): 10-17.</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 xml:space="preserve">Poulson, A, T. M. Wilson, C. Packer, R. E. Carlson and R. M. Buch. 2020. Essential oils of trunk, limbs, needles and seed cones of </w:t>
      </w:r>
      <w:r>
        <w:rPr>
          <w:rFonts w:cs="Times New Roman" w:ascii="Times New Roman" w:hAnsi="Times New Roman"/>
          <w:i/>
          <w:iCs/>
          <w:shd w:fill="FFFFFF" w:val="clear"/>
        </w:rPr>
        <w:t>Pinus edulis</w:t>
      </w:r>
      <w:r>
        <w:rPr>
          <w:rFonts w:cs="Times New Roman" w:ascii="Times New Roman" w:hAnsi="Times New Roman"/>
          <w:shd w:fill="FFFFFF" w:val="clear"/>
        </w:rPr>
        <w:t xml:space="preserve"> (Pinaceae) from Utah. Phytologia 102(3): 200-207.</w:t>
      </w:r>
    </w:p>
    <w:p>
      <w:pPr>
        <w:pStyle w:val="EndNoteBibliography"/>
        <w:ind w:left="720" w:hanging="720"/>
        <w:rPr>
          <w:rStyle w:val="Fieldcontent"/>
          <w:rFonts w:ascii="Times New Roman" w:hAnsi="Times New Roman" w:cs="Times New Roman"/>
        </w:rPr>
      </w:pPr>
      <w:r>
        <w:rPr>
          <w:rStyle w:val="Fieldcontent"/>
          <w:rFonts w:cs="Times New Roman" w:ascii="Times New Roman" w:hAnsi="Times New Roman"/>
        </w:rPr>
        <w:t>Shigo, Alex L. 1979. Tree decay an expanded concept. Agric. Inf. Bull. 419. Washington, D.C.: U.S. Department of Agriculture, Forest Service. 73 p.</w:t>
      </w:r>
    </w:p>
    <w:p>
      <w:pPr>
        <w:pStyle w:val="EndNoteBibliography"/>
        <w:ind w:left="720" w:hanging="720"/>
        <w:rPr>
          <w:rStyle w:val="Fieldcontent"/>
          <w:rFonts w:ascii="Times New Roman" w:hAnsi="Times New Roman" w:cs="Times New Roman"/>
        </w:rPr>
      </w:pPr>
      <w:r>
        <w:rPr>
          <w:rStyle w:val="Fieldcontent"/>
          <w:rFonts w:cs="Times New Roman" w:ascii="Times New Roman" w:hAnsi="Times New Roman"/>
        </w:rPr>
        <w:t xml:space="preserve">Song, Z., Kennedy, P.G., Liew. F.J. &amp; Schilling, J.S., 2017. Fungal endophytes as priority colonizers initiaing wood decomposition. </w:t>
      </w:r>
      <w:r>
        <w:rPr>
          <w:rStyle w:val="Fieldcontent"/>
          <w:rFonts w:cs="Times New Roman" w:ascii="Times New Roman" w:hAnsi="Times New Roman"/>
          <w:i/>
          <w:iCs/>
        </w:rPr>
        <w:t>Functional Ecology</w:t>
      </w:r>
      <w:r>
        <w:rPr>
          <w:rStyle w:val="Fieldcontent"/>
          <w:rFonts w:cs="Times New Roman" w:ascii="Times New Roman" w:hAnsi="Times New Roman"/>
        </w:rPr>
        <w:t>, 31(2), pp.407-418.</w:t>
      </w:r>
    </w:p>
    <w:p>
      <w:pPr>
        <w:pStyle w:val="Normal"/>
        <w:rPr>
          <w:rStyle w:val="Fieldcontent"/>
          <w:rFonts w:ascii="Times New Roman" w:hAnsi="Times New Roman" w:eastAsia="Times New Roman" w:cs="Times New Roman"/>
        </w:rPr>
      </w:pPr>
      <w:r>
        <w:rPr>
          <w:rFonts w:eastAsia="Times New Roman" w:cs="Times New Roman" w:ascii="Times New Roman" w:hAnsi="Times New Roman"/>
        </w:rPr>
        <w:t xml:space="preserve">Ulyshen, M.D., Müller, J. and Seibold, S., 2016. Bark coverage and insects influence wood decomposition: Direct and indirect effects. </w:t>
      </w:r>
      <w:r>
        <w:rPr>
          <w:rFonts w:eastAsia="Times New Roman" w:cs="Times New Roman" w:ascii="Times New Roman" w:hAnsi="Times New Roman"/>
          <w:i/>
          <w:iCs/>
        </w:rPr>
        <w:t>Applied Soil Ecology</w:t>
      </w:r>
      <w:r>
        <w:rPr>
          <w:rFonts w:eastAsia="Times New Roman" w:cs="Times New Roman" w:ascii="Times New Roman" w:hAnsi="Times New Roman"/>
        </w:rPr>
        <w:t xml:space="preserve">, </w:t>
      </w:r>
      <w:r>
        <w:rPr>
          <w:rFonts w:eastAsia="Times New Roman" w:cs="Times New Roman" w:ascii="Times New Roman" w:hAnsi="Times New Roman"/>
          <w:i/>
          <w:iCs/>
        </w:rPr>
        <w:t>105</w:t>
      </w:r>
      <w:r>
        <w:rPr>
          <w:rFonts w:eastAsia="Times New Roman" w:cs="Times New Roman" w:ascii="Times New Roman" w:hAnsi="Times New Roman"/>
        </w:rPr>
        <w:t>, pp.25-30.</w:t>
      </w:r>
    </w:p>
    <w:p>
      <w:pPr>
        <w:pStyle w:val="EndNoteBibliography"/>
        <w:ind w:left="720" w:hanging="720"/>
        <w:rPr>
          <w:rFonts w:ascii="Times New Roman" w:hAnsi="Times New Roman" w:cs="Times New Roman"/>
          <w:highlight w:val="white"/>
        </w:rPr>
      </w:pPr>
      <w:r>
        <w:rPr>
          <w:rFonts w:cs="Times New Roman" w:ascii="Times New Roman" w:hAnsi="Times New Roman"/>
          <w:shd w:fill="FFFFFF" w:val="clear"/>
        </w:rPr>
        <w:t>Welsh, S. L. (1993). </w:t>
      </w:r>
      <w:r>
        <w:rPr>
          <w:rFonts w:cs="Times New Roman" w:ascii="Times New Roman" w:hAnsi="Times New Roman"/>
          <w:i/>
          <w:iCs/>
          <w:shd w:fill="FFFFFF" w:val="clear"/>
        </w:rPr>
        <w:t>A Utah flora</w:t>
      </w:r>
      <w:r>
        <w:rPr>
          <w:rFonts w:cs="Times New Roman" w:ascii="Times New Roman" w:hAnsi="Times New Roman"/>
          <w:shd w:fill="FFFFFF" w:val="clear"/>
        </w:rPr>
        <w:t>. Monte L Bean Life Science Museum.</w:t>
      </w:r>
    </w:p>
    <w:p>
      <w:pPr>
        <w:pStyle w:val="Normal"/>
        <w:spacing w:lineRule="auto" w:line="240" w:before="0" w:after="0"/>
        <w:ind w:left="720" w:hanging="720"/>
        <w:rPr>
          <w:rFonts w:ascii="Times New Roman" w:hAnsi="Times New Roman" w:eastAsia="Times New Roman" w:cs="Times New Roman"/>
        </w:rPr>
      </w:pPr>
      <w:r>
        <w:rPr>
          <w:rFonts w:eastAsia="Times New Roman" w:cs="Times New Roman" w:ascii="Times New Roman" w:hAnsi="Times New Roman"/>
        </w:rPr>
        <w:t xml:space="preserve">Wilson, T. M., Poulson, A., Packer, C., Marshall, J., Carlson, R., &amp; Buch, R. M. Essential oils of whole tree, trunk, limbs and leaves of </w:t>
      </w:r>
      <w:r>
        <w:rPr>
          <w:rFonts w:eastAsia="Times New Roman" w:cs="Times New Roman" w:ascii="Times New Roman" w:hAnsi="Times New Roman"/>
          <w:i/>
          <w:iCs/>
        </w:rPr>
        <w:t>Juniperus osteosperma</w:t>
      </w:r>
      <w:r>
        <w:rPr>
          <w:rFonts w:eastAsia="Times New Roman" w:cs="Times New Roman" w:ascii="Times New Roman" w:hAnsi="Times New Roman"/>
        </w:rPr>
        <w:t xml:space="preserve"> from Utah. Phytologia 101(3), 188-193.</w:t>
      </w:r>
    </w:p>
    <w:p>
      <w:pPr>
        <w:pStyle w:val="Body"/>
        <w:rPr>
          <w:rFonts w:ascii="Times New Roman" w:hAnsi="Times New Roman" w:cs="Times New Roman"/>
          <w:bCs/>
        </w:rPr>
      </w:pPr>
      <w:r>
        <w:rPr>
          <w:rFonts w:cs="Times New Roman" w:ascii="Times New Roman" w:hAnsi="Times New Roman"/>
          <w:bCs/>
        </w:rPr>
      </w:r>
    </w:p>
    <w:p>
      <w:pPr>
        <w:sectPr>
          <w:type w:val="nextPage"/>
          <w:pgSz w:w="12240" w:h="15840"/>
          <w:pgMar w:left="1440" w:right="1440" w:header="0" w:top="1440" w:footer="0" w:bottom="1440" w:gutter="0"/>
          <w:pgNumType w:fmt="decimal"/>
          <w:formProt w:val="false"/>
          <w:textDirection w:val="lrTb"/>
          <w:docGrid w:type="default" w:linePitch="360" w:charSpace="4096"/>
        </w:sectPr>
        <w:pStyle w:val="Body"/>
        <w:rPr>
          <w:rFonts w:ascii="Times New Roman" w:hAnsi="Times New Roman" w:cs="Times New Roman"/>
          <w:bCs/>
        </w:rPr>
      </w:pPr>
      <w:r>
        <w:rPr>
          <w:rFonts w:cs="Times New Roman" w:ascii="Times New Roman" w:hAnsi="Times New Roman"/>
          <w:bCs/>
        </w:rPr>
      </w:r>
    </w:p>
    <w:p>
      <w:pPr>
        <w:pStyle w:val="Normal"/>
        <w:spacing w:lineRule="auto" w:line="240" w:before="0" w:after="0"/>
        <w:ind w:firstLine="720"/>
        <w:jc w:val="both"/>
        <w:rPr>
          <w:rFonts w:ascii="Times New Roman" w:hAnsi="Times New Roman" w:eastAsia="Times New Roman" w:cs="Times New Roman"/>
          <w:color w:val="4472C4" w:themeColor="accent1"/>
        </w:rPr>
      </w:pPr>
      <w:r>
        <w:rPr>
          <w:rFonts w:cs="Times New Roman" w:ascii="Times New Roman" w:hAnsi="Times New Roman"/>
          <w:bCs/>
        </w:rPr>
        <w:t xml:space="preserve">Table 1. Aromatic profile of </w:t>
      </w:r>
      <w:r>
        <w:rPr>
          <w:rFonts w:cs="Times New Roman" w:ascii="Times New Roman" w:hAnsi="Times New Roman"/>
          <w:bCs/>
          <w:i/>
        </w:rPr>
        <w:t>J. osteosperma</w:t>
      </w:r>
      <w:r>
        <w:rPr>
          <w:rFonts w:cs="Times New Roman" w:ascii="Times New Roman" w:hAnsi="Times New Roman"/>
          <w:bCs/>
        </w:rPr>
        <w:t xml:space="preserve"> essential oil from the dead trunk (n=16). Compound not detected are denoted as not detected (nd) and values less than 0.1% as traces (t). Unidentified compounds less than 1.0% are not included. KI is the Kovat’s Index using a linear calculation on DB-5 column </w:t>
      </w:r>
      <w:r>
        <w:rPr>
          <w:rFonts w:eastAsia="Times New Roman" w:cs="Times New Roman" w:ascii="Times New Roman" w:hAnsi="Times New Roman"/>
        </w:rPr>
        <w:t>(Adams 2007). Relative area percent is determined by GC-FID</w:t>
      </w:r>
      <w:r>
        <w:rPr>
          <w:rFonts w:cs="Times New Roman" w:ascii="Times New Roman" w:hAnsi="Times New Roman"/>
          <w:bCs/>
        </w:rPr>
        <w:t xml:space="preserve">. </w:t>
      </w:r>
      <w:r>
        <w:rPr>
          <w:rFonts w:eastAsia="Times New Roman" w:cs="Times New Roman" w:ascii="Times New Roman" w:hAnsi="Times New Roman"/>
        </w:rPr>
        <w:t>Essential oil samples were analyzed in triplicate to ensure reproducibility (SD &lt;1 for all compounds).</w:t>
      </w:r>
    </w:p>
    <w:p>
      <w:pPr>
        <w:pStyle w:val="Normal"/>
        <w:spacing w:lineRule="auto" w:line="240" w:before="0" w:after="0"/>
        <w:ind w:firstLine="720"/>
        <w:jc w:val="both"/>
        <w:rPr>
          <w:rFonts w:ascii="Times New Roman" w:hAnsi="Times New Roman" w:eastAsia="Times New Roman" w:cs="Times New Roman"/>
          <w:color w:val="4472C4" w:themeColor="accent1"/>
        </w:rPr>
      </w:pPr>
      <w:r>
        <w:rPr>
          <w:rFonts w:eastAsia="Times New Roman" w:cs="Times New Roman" w:ascii="Times New Roman" w:hAnsi="Times New Roman"/>
          <w:color w:val="4472C4" w:themeColor="accent1"/>
        </w:rPr>
      </w:r>
    </w:p>
    <w:tbl>
      <w:tblPr>
        <w:tblStyle w:val="PlainTable1"/>
        <w:tblW w:w="13539" w:type="dxa"/>
        <w:jc w:val="left"/>
        <w:tblInd w:w="0" w:type="dxa"/>
        <w:tblCellMar>
          <w:top w:w="0" w:type="dxa"/>
          <w:left w:w="108" w:type="dxa"/>
          <w:bottom w:w="0" w:type="dxa"/>
          <w:right w:w="108" w:type="dxa"/>
        </w:tblCellMar>
        <w:tblLook w:noVBand="1" w:val="04a0" w:noHBand="0" w:lastColumn="0" w:firstColumn="1" w:lastRow="0" w:firstRow="1"/>
      </w:tblPr>
      <w:tblGrid>
        <w:gridCol w:w="805"/>
        <w:gridCol w:w="3509"/>
        <w:gridCol w:w="576"/>
        <w:gridCol w:w="577"/>
        <w:gridCol w:w="575"/>
        <w:gridCol w:w="577"/>
        <w:gridCol w:w="575"/>
        <w:gridCol w:w="577"/>
        <w:gridCol w:w="575"/>
        <w:gridCol w:w="577"/>
        <w:gridCol w:w="575"/>
        <w:gridCol w:w="577"/>
        <w:gridCol w:w="576"/>
        <w:gridCol w:w="576"/>
        <w:gridCol w:w="576"/>
        <w:gridCol w:w="577"/>
        <w:gridCol w:w="575"/>
        <w:gridCol w:w="580"/>
      </w:tblGrid>
      <w:tr>
        <w:trPr>
          <w:trHeight w:val="242" w:hRule="atLeast"/>
          <w:cnfStyle w:val="100000000000" w:firstRow="1" w:lastRow="0" w:firstColumn="0" w:lastColumn="0" w:oddVBand="0" w:evenVBand="0" w:oddHBand="0"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c>
          <w:tcPr>
            <w:tcW w:w="3509" w:type="dxa"/>
            <w:tcBorders>
              <w:right w:val="single" w:sz="4" w:space="0" w:color="000000"/>
              <w:insideV w:val="single" w:sz="4" w:space="0" w:color="000000"/>
            </w:tcBorders>
            <w:shd w:fill="auto" w:val="clear"/>
          </w:tcPr>
          <w:p>
            <w:pPr>
              <w:pStyle w:val="Normal"/>
              <w:spacing w:lineRule="auto" w:line="240" w:before="0"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b/>
                <w:bCs/>
                <w:sz w:val="20"/>
                <w:szCs w:val="20"/>
              </w:rPr>
              <w:t>Site ID:</w:t>
            </w:r>
          </w:p>
        </w:tc>
        <w:tc>
          <w:tcPr>
            <w:tcW w:w="576"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CC1</w:t>
            </w:r>
          </w:p>
        </w:tc>
        <w:tc>
          <w:tcPr>
            <w:tcW w:w="577"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CC2</w:t>
            </w:r>
          </w:p>
        </w:tc>
        <w:tc>
          <w:tcPr>
            <w:tcW w:w="575"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M1</w:t>
            </w:r>
          </w:p>
        </w:tc>
        <w:tc>
          <w:tcPr>
            <w:tcW w:w="577"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F1</w:t>
            </w:r>
          </w:p>
        </w:tc>
        <w:tc>
          <w:tcPr>
            <w:tcW w:w="575"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CC3</w:t>
            </w:r>
          </w:p>
        </w:tc>
        <w:tc>
          <w:tcPr>
            <w:tcW w:w="577"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CC4</w:t>
            </w:r>
          </w:p>
        </w:tc>
        <w:tc>
          <w:tcPr>
            <w:tcW w:w="575"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SL2</w:t>
            </w:r>
          </w:p>
        </w:tc>
        <w:tc>
          <w:tcPr>
            <w:tcW w:w="577"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SL3</w:t>
            </w:r>
          </w:p>
        </w:tc>
        <w:tc>
          <w:tcPr>
            <w:tcW w:w="575"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SL4</w:t>
            </w:r>
          </w:p>
        </w:tc>
        <w:tc>
          <w:tcPr>
            <w:tcW w:w="577"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SL6</w:t>
            </w:r>
          </w:p>
        </w:tc>
        <w:tc>
          <w:tcPr>
            <w:tcW w:w="576"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SL7</w:t>
            </w:r>
          </w:p>
        </w:tc>
        <w:tc>
          <w:tcPr>
            <w:tcW w:w="576"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SL8</w:t>
            </w:r>
          </w:p>
        </w:tc>
        <w:tc>
          <w:tcPr>
            <w:tcW w:w="576"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SL9</w:t>
            </w:r>
          </w:p>
        </w:tc>
        <w:tc>
          <w:tcPr>
            <w:tcW w:w="577"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CC5</w:t>
            </w:r>
          </w:p>
        </w:tc>
        <w:tc>
          <w:tcPr>
            <w:tcW w:w="575"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SL11</w:t>
            </w:r>
          </w:p>
        </w:tc>
        <w:tc>
          <w:tcPr>
            <w:tcW w:w="580" w:type="dxa"/>
            <w:tcBorders>
              <w:top w:val="single" w:sz="4" w:space="0" w:color="000000"/>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sz w:val="16"/>
                <w:szCs w:val="16"/>
              </w:rPr>
            </w:pPr>
            <w:r>
              <w:rPr>
                <w:rFonts w:eastAsia="Times New Roman" w:cs="Times New Roman" w:ascii="Times New Roman" w:hAnsi="Times New Roman"/>
                <w:b/>
                <w:bCs/>
                <w:sz w:val="16"/>
                <w:szCs w:val="16"/>
              </w:rPr>
              <w:t>SL12</w:t>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jc w:val="right"/>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Year of Fire: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1998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1999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2000</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2005</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2009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2013</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2017</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16"/>
                <w:szCs w:val="16"/>
              </w:rPr>
            </w:pPr>
            <w:r>
              <w:rPr>
                <w:rFonts w:cs="Calibri"/>
                <w:b/>
                <w:bCs/>
                <w:color w:val="000000"/>
                <w:sz w:val="16"/>
                <w:szCs w:val="16"/>
              </w:rPr>
              <w:t>2018</w:t>
            </w:r>
          </w:p>
        </w:tc>
      </w:tr>
      <w:tr>
        <w:trPr>
          <w:trHeight w:val="2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sz w:val="20"/>
                <w:szCs w:val="20"/>
              </w:rPr>
            </w:pPr>
            <w:r>
              <w:rPr>
                <w:rFonts w:eastAsia="Times New Roman" w:cs="Times New Roman" w:ascii="Times New Roman" w:hAnsi="Times New Roman"/>
                <w:b/>
                <w:bCs/>
                <w:sz w:val="20"/>
                <w:szCs w:val="20"/>
              </w:rPr>
              <w:t>KI</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t>Compound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rHeight w:val="260"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932</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α-pinene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953</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thuja-2,4(10)-diene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1020</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p-cymene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1186</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α-terpineol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5.3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2.8</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1194</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myrtenol</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1195</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myrtenal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bCs/>
                <w:color w:val="000000"/>
                <w:sz w:val="20"/>
                <w:szCs w:val="20"/>
                <w:vertAlign w:val="superscript"/>
              </w:rPr>
              <w:t>1</w:t>
            </w:r>
            <w:r>
              <w:rPr>
                <w:rFonts w:cs="Times New Roman" w:ascii="Times New Roman" w:hAnsi="Times New Roman"/>
                <w:b/>
                <w:bCs/>
                <w:color w:val="000000"/>
                <w:sz w:val="20"/>
                <w:szCs w:val="20"/>
              </w:rPr>
              <w:t xml:space="preserve"> 1225</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Unknown 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2.0</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1241</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carvacrol methyl ether</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1249</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piperitone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1.0</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1387</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α-duprezianene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1410</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α-cedrene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5.6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18.1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7.2</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34.1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8.0</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7.8</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8.0</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2.1</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1419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β-cedrene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4.1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1.8</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1421</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β-duprezianene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1429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cis-thujopsene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30.7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25.8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26.4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30.2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27.2</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12.0</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13.8</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12.0</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20.7</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26.0</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1449</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α-himachalene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1469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β-acoradiene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1474</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10-epi-β-acoradiene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1476</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β-chamigrene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1498</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pseudowiddrene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1504</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cuparene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2.9</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1541</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8,14-cedranoxide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1589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allo-cedrol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1595</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cis-dihydro-mayurone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1599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widdrol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6.0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5.5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4.3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2.6</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10.0</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6.4</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1600</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cedrol</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37.3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17.8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5.8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18.4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36.6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38.1</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15.0</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35.2</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1607</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β-biotone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1630</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γ-eudesmol</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2.0</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3.4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0.2</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1.2</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0.7</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0.8</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0.2</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2.8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2.4</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nd</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1632</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α-acorenol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0.4</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2.6</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1.1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nd</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0.7</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3.1</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1636</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β-acorenol</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1639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1,7-diepi-alpha-cedrenal</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1.7</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80" w:type="dxa"/>
            <w:tcBorders>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1649</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β-eudesmol</w:t>
            </w:r>
          </w:p>
        </w:tc>
        <w:tc>
          <w:tcPr>
            <w:tcW w:w="576"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4.2</w:t>
            </w:r>
          </w:p>
        </w:tc>
        <w:tc>
          <w:tcPr>
            <w:tcW w:w="577"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6.2</w:t>
            </w:r>
          </w:p>
        </w:tc>
        <w:tc>
          <w:tcPr>
            <w:tcW w:w="575"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5"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7"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5"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3.9</w:t>
            </w:r>
          </w:p>
        </w:tc>
        <w:tc>
          <w:tcPr>
            <w:tcW w:w="577"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6"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6"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3.2</w:t>
            </w:r>
          </w:p>
        </w:tc>
        <w:tc>
          <w:tcPr>
            <w:tcW w:w="576"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75"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3.1</w:t>
            </w:r>
          </w:p>
        </w:tc>
        <w:tc>
          <w:tcPr>
            <w:tcW w:w="580" w:type="dxa"/>
            <w:tcBorders>
              <w:top w:val="single" w:sz="4" w:space="0" w:color="000000"/>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1652</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α-eudesmol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3.1</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1.9</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bCs/>
                <w:color w:val="000000"/>
                <w:sz w:val="20"/>
                <w:szCs w:val="20"/>
                <w:vertAlign w:val="superscript"/>
              </w:rPr>
              <w:t>1</w:t>
            </w:r>
            <w:r>
              <w:rPr>
                <w:rFonts w:cs="Times New Roman" w:ascii="Times New Roman" w:hAnsi="Times New Roman"/>
                <w:b/>
                <w:bCs/>
                <w:color w:val="000000"/>
                <w:sz w:val="20"/>
                <w:szCs w:val="20"/>
              </w:rPr>
              <w:t xml:space="preserve"> 1681</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Unknown 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1688</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cedr-8-en-13-ol</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4.9</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5.7</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7.8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5.0</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3.0</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6.1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13.0</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6.5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11.4</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1.8</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bCs/>
                <w:sz w:val="20"/>
                <w:szCs w:val="20"/>
                <w:vertAlign w:val="superscript"/>
              </w:rPr>
              <w:t>1</w:t>
            </w:r>
            <w:r>
              <w:rPr>
                <w:rFonts w:cs="Times New Roman" w:ascii="Times New Roman" w:hAnsi="Times New Roman"/>
                <w:b/>
                <w:bCs/>
                <w:sz w:val="20"/>
                <w:szCs w:val="20"/>
              </w:rPr>
              <w:t xml:space="preserve"> 1714</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cedr-8-en-15-ol</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3.3</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2.9</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2.8</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1.7</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3.9</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2.3</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3.1</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3.1</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3.7</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2.7</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1709</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mayurone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0.8</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0.1</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sz w:val="20"/>
                <w:szCs w:val="20"/>
              </w:rPr>
              <w:t>1708</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thujopsenal</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bCs/>
                <w:sz w:val="20"/>
                <w:szCs w:val="20"/>
                <w:vertAlign w:val="superscript"/>
              </w:rPr>
              <w:t>1</w:t>
            </w:r>
            <w:r>
              <w:rPr>
                <w:rFonts w:cs="Times New Roman" w:ascii="Times New Roman" w:hAnsi="Times New Roman"/>
                <w:b/>
                <w:bCs/>
                <w:sz w:val="20"/>
                <w:szCs w:val="20"/>
              </w:rPr>
              <w:t xml:space="preserve"> 1725</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Unknown 3</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2.1</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2.4</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1.8</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vAlign w:val="cente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bCs/>
                <w:sz w:val="20"/>
                <w:szCs w:val="20"/>
                <w:vertAlign w:val="superscript"/>
              </w:rPr>
              <w:t>1</w:t>
            </w:r>
            <w:r>
              <w:rPr>
                <w:rFonts w:cs="Times New Roman" w:ascii="Times New Roman" w:hAnsi="Times New Roman"/>
                <w:b/>
                <w:bCs/>
                <w:sz w:val="20"/>
                <w:szCs w:val="20"/>
              </w:rPr>
              <w:t xml:space="preserve"> 1739</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cs="Times New Roman" w:ascii="Times New Roman" w:hAnsi="Times New Roman"/>
                <w:sz w:val="20"/>
                <w:szCs w:val="20"/>
              </w:rPr>
              <w:t>4a,8,8-Trimethyloctahydrocyclopropa[d]</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 xml:space="preserve">naphthalen-2(3H)-one  </w:t>
            </w:r>
          </w:p>
        </w:tc>
        <w:tc>
          <w:tcPr>
            <w:tcW w:w="576"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1.1</w:t>
            </w:r>
          </w:p>
        </w:tc>
        <w:tc>
          <w:tcPr>
            <w:tcW w:w="577"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2.6</w:t>
            </w:r>
          </w:p>
        </w:tc>
        <w:tc>
          <w:tcPr>
            <w:tcW w:w="575"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7"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5"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w:t>
            </w:r>
          </w:p>
        </w:tc>
        <w:tc>
          <w:tcPr>
            <w:tcW w:w="575"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7"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7"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6"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1.6</w:t>
            </w:r>
          </w:p>
        </w:tc>
        <w:tc>
          <w:tcPr>
            <w:tcW w:w="576"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2.2</w:t>
            </w:r>
          </w:p>
        </w:tc>
        <w:tc>
          <w:tcPr>
            <w:tcW w:w="576"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7"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1.3</w:t>
            </w:r>
          </w:p>
        </w:tc>
        <w:tc>
          <w:tcPr>
            <w:tcW w:w="575"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80" w:type="dxa"/>
            <w:tcBorders>
              <w:left w:val="single" w:sz="4" w:space="0" w:color="000000"/>
              <w:right w:val="single" w:sz="4" w:space="0" w:color="000000"/>
              <w:insideV w:val="single" w:sz="4" w:space="0" w:color="000000"/>
            </w:tcBorders>
            <w:shd w:color="auto" w:fill="F2F2F2" w:themeFill="background1" w:themeFillShade="f2" w:val="cle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vAlign w:val="cente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bCs/>
                <w:sz w:val="20"/>
                <w:szCs w:val="20"/>
                <w:vertAlign w:val="superscript"/>
              </w:rPr>
              <w:t>1</w:t>
            </w:r>
            <w:r>
              <w:rPr>
                <w:rFonts w:cs="Times New Roman" w:ascii="Times New Roman" w:hAnsi="Times New Roman"/>
                <w:b/>
                <w:bCs/>
                <w:sz w:val="20"/>
                <w:szCs w:val="20"/>
              </w:rPr>
              <w:t xml:space="preserve"> 1746</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3,3,4-Trimethyl-4-(4-methylphenyl) cyclopentanol</w:t>
            </w:r>
          </w:p>
        </w:tc>
        <w:tc>
          <w:tcPr>
            <w:tcW w:w="576"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5"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5"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c>
          <w:tcPr>
            <w:tcW w:w="576"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0.5</w:t>
            </w:r>
          </w:p>
        </w:tc>
        <w:tc>
          <w:tcPr>
            <w:tcW w:w="575"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80" w:type="dxa"/>
            <w:tcBorders>
              <w:left w:val="single" w:sz="4" w:space="0" w:color="000000"/>
              <w:right w:val="single" w:sz="4" w:space="0" w:color="000000"/>
              <w:insideV w:val="single" w:sz="4" w:space="0" w:color="000000"/>
            </w:tcBorders>
            <w:shd w:fill="auto" w:val="cle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1788</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8-cedren-13-ol acetate</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80" w:type="dxa"/>
            <w:tcBorders>
              <w:left w:val="single" w:sz="4" w:space="0" w:color="000000"/>
              <w:right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1806</w:t>
            </w:r>
          </w:p>
        </w:tc>
        <w:tc>
          <w:tcPr>
            <w:tcW w:w="3509" w:type="dxa"/>
            <w:tcBorders>
              <w:right w:val="single" w:sz="4" w:space="0" w:color="000000"/>
              <w:insideV w:val="single" w:sz="4" w:space="0" w:color="000000"/>
            </w:tcBorders>
            <w:shd w:fill="auto" w:val="cle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sz w:val="20"/>
                <w:szCs w:val="20"/>
              </w:rPr>
              <w:t>nootkatone</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6"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5"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80" w:type="dxa"/>
            <w:tcBorders>
              <w:left w:val="single" w:sz="4" w:space="0" w:color="000000"/>
              <w:right w:val="single" w:sz="4" w:space="0" w:color="000000"/>
              <w:insideV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r>
      <w:tr>
        <w:trPr>
          <w:trHeight w:val="178" w:hRule="atLeast"/>
          <w:cnfStyle w:val="000000100000" w:firstRow="0" w:lastRow="0" w:firstColumn="0" w:lastColumn="0" w:oddVBand="0" w:evenVBand="0" w:oddHBand="1" w:evenHBand="0" w:firstRowFirstColumn="0" w:firstRowLastColumn="0" w:lastRowFirstColumn="0" w:lastRowLastColumn="0"/>
        </w:trPr>
        <w:tc>
          <w:tcPr>
            <w:tcW w:w="805" w:type="dxa"/>
            <w:cnfStyle w:val="001000000000" w:firstRow="0" w:lastRow="0" w:firstColumn="1" w:lastColumn="0" w:oddVBand="0" w:evenVBand="0" w:oddHBand="0" w:evenHBand="0" w:firstRowFirstColumn="0" w:firstRowLastColumn="0" w:lastRowFirstColumn="0" w:lastRowLastColumn="0"/>
            <w:tcBorders/>
            <w:shd w:color="auto" w:fill="F2F2F2" w:themeFill="background1" w:themeFillShade="f2" w:val="clear"/>
          </w:tcPr>
          <w:p>
            <w:pPr>
              <w:pStyle w:val="Normal"/>
              <w:spacing w:lineRule="auto" w:line="240" w:before="0" w:after="0"/>
              <w:jc w:val="center"/>
              <w:rPr>
                <w:rFonts w:ascii="Times New Roman" w:hAnsi="Times New Roman" w:eastAsia="Times New Roman" w:cs="Times New Roman"/>
                <w:b w:val="false"/>
                <w:b w:val="false"/>
                <w:bCs w:val="false"/>
                <w:sz w:val="20"/>
                <w:szCs w:val="20"/>
              </w:rPr>
            </w:pPr>
            <w:r>
              <w:rPr>
                <w:rFonts w:cs="Times New Roman" w:ascii="Times New Roman" w:hAnsi="Times New Roman"/>
                <w:b w:val="false"/>
                <w:bCs w:val="false"/>
                <w:color w:val="000000"/>
                <w:sz w:val="20"/>
                <w:szCs w:val="20"/>
              </w:rPr>
              <w:t>1889</w:t>
            </w:r>
          </w:p>
        </w:tc>
        <w:tc>
          <w:tcPr>
            <w:tcW w:w="3509" w:type="dxa"/>
            <w:tcBorders>
              <w:right w:val="single" w:sz="4" w:space="0" w:color="000000"/>
              <w:insideV w:val="single" w:sz="4" w:space="0" w:color="000000"/>
            </w:tcBorders>
            <w:shd w:color="auto" w:fill="F2F2F2" w:themeFill="background1" w:themeFillShade="f2" w:val="cle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8S,14-cedranediol</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0.2</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0.4</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0.3</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t</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nd</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1.4</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0.7</w:t>
            </w:r>
          </w:p>
        </w:tc>
        <w:tc>
          <w:tcPr>
            <w:tcW w:w="576"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1.0</w:t>
            </w:r>
          </w:p>
        </w:tc>
        <w:tc>
          <w:tcPr>
            <w:tcW w:w="577"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1.2</w:t>
            </w:r>
          </w:p>
        </w:tc>
        <w:tc>
          <w:tcPr>
            <w:tcW w:w="575"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0.6</w:t>
            </w:r>
          </w:p>
        </w:tc>
        <w:tc>
          <w:tcPr>
            <w:tcW w:w="580" w:type="dxa"/>
            <w:tcBorders>
              <w:left w:val="single" w:sz="4" w:space="0" w:color="000000"/>
              <w:bottom w:val="single" w:sz="4" w:space="0" w:color="000000"/>
              <w:right w:val="single" w:sz="4" w:space="0" w:color="000000"/>
              <w:insideH w:val="single" w:sz="4" w:space="0" w:color="000000"/>
              <w:insideV w:val="single" w:sz="4" w:space="0" w:color="000000"/>
            </w:tcBorders>
            <w:shd w:color="auto" w:fill="F2F2F2" w:themeFill="background1" w:themeFillShade="f2" w:val="clea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0.9</w:t>
            </w:r>
          </w:p>
        </w:tc>
      </w:tr>
      <w:tr>
        <w:trPr>
          <w:trHeight w:val="178" w:hRule="atLeast"/>
        </w:trPr>
        <w:tc>
          <w:tcPr>
            <w:tcW w:w="805" w:type="dxa"/>
            <w:cnfStyle w:val="001000000000" w:firstRow="0" w:lastRow="0" w:firstColumn="1" w:lastColumn="0" w:oddVBand="0" w:evenVBand="0" w:oddHBand="0" w:evenHBand="0" w:firstRowFirstColumn="0" w:firstRowLastColumn="0" w:lastRowFirstColumn="0" w:lastRowLastColumn="0"/>
            <w:tcBorders/>
            <w:shd w:fill="auto" w:val="clear"/>
          </w:tcPr>
          <w:p>
            <w:pPr>
              <w:pStyle w:val="Normal"/>
              <w:spacing w:lineRule="auto" w:line="240" w:before="0" w:after="0"/>
              <w:jc w:val="center"/>
              <w:rPr>
                <w:rFonts w:ascii="Times New Roman" w:hAnsi="Times New Roman" w:eastAsia="Times New Roman" w:cs="Times New Roman"/>
                <w:b/>
                <w:b/>
                <w:bCs/>
                <w:sz w:val="20"/>
                <w:szCs w:val="20"/>
              </w:rPr>
            </w:pPr>
            <w:r>
              <w:rPr>
                <w:rFonts w:eastAsia="Times New Roman" w:cs="Times New Roman" w:ascii="Times New Roman" w:hAnsi="Times New Roman"/>
                <w:b/>
                <w:bCs/>
                <w:sz w:val="20"/>
                <w:szCs w:val="20"/>
              </w:rPr>
            </w:r>
          </w:p>
        </w:tc>
        <w:tc>
          <w:tcPr>
            <w:tcW w:w="3509" w:type="dxa"/>
            <w:tcBorders/>
            <w:shd w:fill="auto" w:val="clear"/>
          </w:tcPr>
          <w:p>
            <w:pPr>
              <w:pStyle w:val="Normal"/>
              <w:spacing w:lineRule="auto" w:line="240" w:before="0" w:after="0"/>
              <w:jc w:val="right"/>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eastAsia="Times New Roman" w:cs="Times New Roman" w:ascii="Times New Roman" w:hAnsi="Times New Roman"/>
                <w:sz w:val="20"/>
                <w:szCs w:val="20"/>
              </w:rPr>
              <w:t>column total:</w:t>
            </w:r>
          </w:p>
        </w:tc>
        <w:tc>
          <w:tcPr>
            <w:tcW w:w="576"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94.6</w:t>
            </w:r>
          </w:p>
        </w:tc>
        <w:tc>
          <w:tcPr>
            <w:tcW w:w="577"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93.0</w:t>
            </w:r>
          </w:p>
        </w:tc>
        <w:tc>
          <w:tcPr>
            <w:tcW w:w="575"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91.9</w:t>
            </w:r>
          </w:p>
        </w:tc>
        <w:tc>
          <w:tcPr>
            <w:tcW w:w="577"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88.6</w:t>
            </w:r>
          </w:p>
        </w:tc>
        <w:tc>
          <w:tcPr>
            <w:tcW w:w="575"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92.3</w:t>
            </w:r>
          </w:p>
        </w:tc>
        <w:tc>
          <w:tcPr>
            <w:tcW w:w="577"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96.1</w:t>
            </w:r>
          </w:p>
        </w:tc>
        <w:tc>
          <w:tcPr>
            <w:tcW w:w="575"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98.4</w:t>
            </w:r>
          </w:p>
        </w:tc>
        <w:tc>
          <w:tcPr>
            <w:tcW w:w="577"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99.3</w:t>
            </w:r>
          </w:p>
        </w:tc>
        <w:tc>
          <w:tcPr>
            <w:tcW w:w="575"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95.6</w:t>
            </w:r>
          </w:p>
        </w:tc>
        <w:tc>
          <w:tcPr>
            <w:tcW w:w="577"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97.7</w:t>
            </w:r>
          </w:p>
        </w:tc>
        <w:tc>
          <w:tcPr>
            <w:tcW w:w="576"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90.8</w:t>
            </w:r>
          </w:p>
        </w:tc>
        <w:tc>
          <w:tcPr>
            <w:tcW w:w="576"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94.8</w:t>
            </w:r>
          </w:p>
        </w:tc>
        <w:tc>
          <w:tcPr>
            <w:tcW w:w="576"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95.7</w:t>
            </w:r>
          </w:p>
        </w:tc>
        <w:tc>
          <w:tcPr>
            <w:tcW w:w="577"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93.1</w:t>
            </w:r>
          </w:p>
        </w:tc>
        <w:tc>
          <w:tcPr>
            <w:tcW w:w="575"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94.1</w:t>
            </w:r>
          </w:p>
        </w:tc>
        <w:tc>
          <w:tcPr>
            <w:tcW w:w="580" w:type="dxa"/>
            <w:tcBorders>
              <w:top w:val="single" w:sz="4" w:space="0" w:color="000000"/>
            </w:tcBorders>
            <w:shd w:fill="auto" w:val="clea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sz w:val="20"/>
                <w:szCs w:val="20"/>
              </w:rPr>
            </w:pPr>
            <w:r>
              <w:rPr>
                <w:rFonts w:cs="Times New Roman" w:ascii="Times New Roman" w:hAnsi="Times New Roman"/>
                <w:color w:val="000000"/>
                <w:sz w:val="20"/>
                <w:szCs w:val="20"/>
              </w:rPr>
              <w:t>93.1</w:t>
            </w:r>
          </w:p>
        </w:tc>
      </w:tr>
    </w:tbl>
    <w:p>
      <w:pPr>
        <w:sectPr>
          <w:type w:val="nextPage"/>
          <w:pgSz w:orient="landscape" w:w="15840" w:h="12240"/>
          <w:pgMar w:left="1440" w:right="1440" w:header="0" w:top="1440" w:footer="0" w:bottom="1440" w:gutter="0"/>
          <w:pgNumType w:fmt="decimal"/>
          <w:formProt w:val="false"/>
          <w:textDirection w:val="lrTb"/>
          <w:docGrid w:type="default" w:linePitch="360" w:charSpace="4096"/>
        </w:sect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vertAlign w:val="superscript"/>
        </w:rPr>
        <w:t>1</w:t>
      </w:r>
      <w:r>
        <w:rPr>
          <w:rFonts w:eastAsia="Times New Roman" w:cs="Times New Roman" w:ascii="Times New Roman" w:hAnsi="Times New Roman"/>
        </w:rPr>
        <w:t xml:space="preserve">KI was calculated using alkane standards. </w:t>
      </w:r>
    </w:p>
    <w:p>
      <w:pPr>
        <w:pStyle w:val="Body"/>
        <w:rPr>
          <w:rFonts w:ascii="Times New Roman" w:hAnsi="Times New Roman" w:cs="Times New Roman"/>
          <w:bCs/>
        </w:rPr>
      </w:pPr>
      <w:r>
        <w:rPr>
          <w:rFonts w:cs="Times New Roman" w:ascii="Times New Roman" w:hAnsi="Times New Roman"/>
          <w:bCs/>
        </w:rPr>
        <w:t xml:space="preserve">Table 2. Mass distilled and essential oil (EO) yield from a single </w:t>
      </w:r>
      <w:r>
        <w:rPr>
          <w:rFonts w:cs="Times New Roman" w:ascii="Times New Roman" w:hAnsi="Times New Roman"/>
          <w:bCs/>
          <w:i/>
          <w:iCs/>
        </w:rPr>
        <w:t>J. osteosperma</w:t>
      </w:r>
      <w:r>
        <w:rPr>
          <w:rFonts w:cs="Times New Roman" w:ascii="Times New Roman" w:hAnsi="Times New Roman"/>
          <w:bCs/>
        </w:rPr>
        <w:t xml:space="preserve"> tree (the number was limited to one as per permit restrictions). Tree was cut 0.25 m above ground; all measurements and calculations are reflective of above ground portions.  </w:t>
      </w:r>
    </w:p>
    <w:p>
      <w:pPr>
        <w:pStyle w:val="Body"/>
        <w:rPr>
          <w:rFonts w:ascii="Times New Roman" w:hAnsi="Times New Roman" w:cs="Times New Roman"/>
          <w:bCs/>
        </w:rPr>
      </w:pPr>
      <w:r>
        <w:rPr>
          <w:rFonts w:cs="Times New Roman" w:ascii="Times New Roman" w:hAnsi="Times New Roman"/>
          <w:bCs/>
        </w:rPr>
      </w:r>
    </w:p>
    <w:tbl>
      <w:tblPr>
        <w:tblW w:w="720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a0" w:noHBand="0" w:lastColumn="0" w:firstColumn="1" w:lastRow="0" w:firstRow="1"/>
      </w:tblPr>
      <w:tblGrid>
        <w:gridCol w:w="1440"/>
        <w:gridCol w:w="1440"/>
        <w:gridCol w:w="1440"/>
        <w:gridCol w:w="1440"/>
        <w:gridCol w:w="1440"/>
      </w:tblGrid>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b/>
                <w:b/>
                <w:bCs/>
              </w:rPr>
            </w:pPr>
            <w:r>
              <w:rPr>
                <w:b/>
                <w:bCs/>
              </w:rPr>
              <w:t>sample identification</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b/>
                <w:b/>
                <w:bCs/>
              </w:rPr>
            </w:pPr>
            <w:r>
              <w:rPr>
                <w:b/>
                <w:bCs/>
              </w:rPr>
              <w:t>year of fire</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b/>
                <w:b/>
                <w:bCs/>
              </w:rPr>
            </w:pPr>
            <w:r>
              <w:rPr>
                <w:rFonts w:cs="Times New Roman" w:ascii="Times New Roman" w:hAnsi="Times New Roman"/>
                <w:b/>
                <w:bCs/>
              </w:rPr>
              <w:t>mass distilled (g)</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b/>
                <w:b/>
                <w:bCs/>
              </w:rPr>
            </w:pPr>
            <w:r>
              <w:rPr>
                <w:rFonts w:cs="Times New Roman" w:ascii="Times New Roman" w:hAnsi="Times New Roman"/>
                <w:b/>
                <w:bCs/>
              </w:rPr>
              <w:t>yield EO (g)</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b/>
                <w:b/>
                <w:bCs/>
              </w:rPr>
            </w:pPr>
            <w:r>
              <w:rPr>
                <w:rFonts w:cs="Times New Roman" w:ascii="Times New Roman" w:hAnsi="Times New Roman"/>
                <w:b/>
                <w:bCs/>
              </w:rPr>
              <w:t>yield EO (%)</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b/>
                <w:b/>
                <w:bCs/>
                <w:sz w:val="20"/>
                <w:szCs w:val="20"/>
              </w:rPr>
            </w:pPr>
            <w:r>
              <w:rPr>
                <w:rFonts w:cs="Times New Roman" w:ascii="Times New Roman" w:hAnsi="Times New Roman"/>
                <w:b/>
                <w:bCs/>
                <w:sz w:val="20"/>
                <w:szCs w:val="20"/>
              </w:rPr>
              <w:t>CC1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1998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900.2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0.2</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CC2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1999</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813.5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3.8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0.5</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M1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2000</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1050.5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4.4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0.4</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F1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832.7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0.3</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CC3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936.1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7.6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0.8</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b/>
                <w:b/>
                <w:bCs/>
                <w:sz w:val="20"/>
                <w:szCs w:val="20"/>
              </w:rPr>
            </w:pPr>
            <w:r>
              <w:rPr>
                <w:rFonts w:cs="Times New Roman" w:ascii="Times New Roman" w:hAnsi="Times New Roman"/>
                <w:b/>
                <w:bCs/>
                <w:sz w:val="20"/>
                <w:szCs w:val="20"/>
              </w:rPr>
              <w:t>CC4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1416.7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5.2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0.4</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1205.7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5.6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0.5</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1426.1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11.0</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0.8</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2009</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1030.7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4.4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0.4</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984.6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9.4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1.0</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b/>
                <w:b/>
                <w:bCs/>
                <w:sz w:val="20"/>
                <w:szCs w:val="20"/>
              </w:rPr>
            </w:pPr>
            <w:r>
              <w:rPr>
                <w:rFonts w:cs="Times New Roman" w:ascii="Times New Roman" w:hAnsi="Times New Roman"/>
                <w:b/>
                <w:bCs/>
                <w:sz w:val="20"/>
                <w:szCs w:val="20"/>
              </w:rPr>
              <w:t>SL7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844.1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4.5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0.5</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2013</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933.6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0.1</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SL9</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2014</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1127.5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4.7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0.4</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CC5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2016</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1109.9</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3.7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0.3</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SL11</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2017</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1641.5</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4.8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0.3</w:t>
            </w:r>
          </w:p>
        </w:tc>
      </w:tr>
      <w:tr>
        <w:trPr>
          <w:trHeight w:val="432" w:hRule="atLeast"/>
        </w:trPr>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0"/>
              <w:jc w:val="center"/>
              <w:rPr>
                <w:rFonts w:ascii="Times New Roman" w:hAnsi="Times New Roman" w:cs="Times New Roman"/>
                <w:b/>
                <w:b/>
                <w:bCs/>
                <w:sz w:val="20"/>
                <w:szCs w:val="20"/>
              </w:rPr>
            </w:pPr>
            <w:r>
              <w:rPr>
                <w:rFonts w:cs="Times New Roman" w:ascii="Times New Roman" w:hAnsi="Times New Roman"/>
                <w:b/>
                <w:bCs/>
                <w:sz w:val="20"/>
                <w:szCs w:val="20"/>
              </w:rPr>
              <w:t>SL12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2018</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1196.2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2.2</w:t>
            </w:r>
          </w:p>
        </w:tc>
        <w:tc>
          <w:tcPr>
            <w:tcW w:w="144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Normal"/>
              <w:spacing w:before="0" w:after="160"/>
              <w:jc w:val="center"/>
              <w:rPr>
                <w:rFonts w:ascii="Times New Roman" w:hAnsi="Times New Roman" w:cs="Times New Roman"/>
                <w:sz w:val="20"/>
                <w:szCs w:val="20"/>
              </w:rPr>
            </w:pPr>
            <w:r>
              <w:rPr>
                <w:rFonts w:cs="Times New Roman" w:ascii="Times New Roman" w:hAnsi="Times New Roman"/>
                <w:sz w:val="20"/>
                <w:szCs w:val="20"/>
              </w:rPr>
              <w:t>0.2</w:t>
            </w:r>
          </w:p>
        </w:tc>
      </w:tr>
    </w:tbl>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t xml:space="preserve">Figure 1. Map showing collection sites of </w:t>
      </w:r>
      <w:r>
        <w:rPr>
          <w:rFonts w:cs="Times New Roman" w:ascii="Times New Roman" w:hAnsi="Times New Roman"/>
          <w:bCs/>
          <w:i/>
          <w:iCs/>
        </w:rPr>
        <w:t>J. osteosperma</w:t>
      </w:r>
      <w:r>
        <w:rPr>
          <w:rFonts w:cs="Times New Roman" w:ascii="Times New Roman" w:hAnsi="Times New Roman"/>
          <w:bCs/>
        </w:rPr>
        <w:t xml:space="preserve"> plant material. Samples were collected in sequence, 1-10. The following are sample collection dates and elevation: </w:t>
      </w:r>
      <w:r>
        <w:rPr>
          <w:rFonts w:cs="Times New Roman" w:ascii="Times New Roman" w:hAnsi="Times New Roman"/>
          <w:bCs/>
          <w:color w:val="FF0000"/>
        </w:rPr>
        <w:t>[will be added later]</w:t>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t xml:space="preserve">Figure 2. Illustrated portions of </w:t>
      </w:r>
      <w:r>
        <w:rPr>
          <w:rFonts w:cs="Times New Roman" w:ascii="Times New Roman" w:hAnsi="Times New Roman"/>
          <w:bCs/>
          <w:i/>
          <w:iCs/>
        </w:rPr>
        <w:t>J. osteosperma</w:t>
      </w:r>
      <w:r>
        <w:rPr>
          <w:rFonts w:cs="Times New Roman" w:ascii="Times New Roman" w:hAnsi="Times New Roman"/>
          <w:bCs/>
        </w:rPr>
        <w:t xml:space="preserve"> trunk used for essential oil extraction and analytical analysis, entomology and mycology studies, and moisture content. </w:t>
      </w:r>
      <w:r>
        <w:rPr>
          <w:rFonts w:cs="Times New Roman" w:ascii="Times New Roman" w:hAnsi="Times New Roman"/>
          <w:bCs/>
          <w:color w:val="FF0000"/>
        </w:rPr>
        <w:t>[will be added later]</w:t>
      </w:r>
    </w:p>
    <w:p>
      <w:pPr>
        <w:pStyle w:val="Body"/>
        <w:rPr>
          <w:rFonts w:ascii="Times New Roman" w:hAnsi="Times New Roman" w:cs="Times New Roman"/>
          <w:bCs/>
        </w:rPr>
      </w:pPr>
      <w:r>
        <w:rPr>
          <w:rFonts w:cs="Times New Roman" w:ascii="Times New Roman" w:hAnsi="Times New Roman"/>
          <w:bCs/>
        </w:rPr>
      </w:r>
    </w:p>
    <w:p>
      <w:pPr>
        <w:pStyle w:val="Normal"/>
        <w:rPr>
          <w:rFonts w:ascii="Times New Roman" w:hAnsi="Times New Roman" w:cs="Times New Roman"/>
        </w:rPr>
      </w:pPr>
      <w:r>
        <w:rPr>
          <w:rFonts w:cs="Times New Roman" w:ascii="Times New Roman" w:hAnsi="Times New Roman"/>
        </w:rPr>
        <w:t xml:space="preserve">Figure 3. </w:t>
      </w:r>
      <w:r>
        <w:rPr>
          <w:rFonts w:cs="Times New Roman" w:ascii="Times New Roman" w:hAnsi="Times New Roman"/>
          <w:bCs/>
          <w:color w:val="FF0000"/>
        </w:rPr>
        <w:t>[will be added later]</w:t>
      </w:r>
    </w:p>
    <w:p>
      <w:pPr>
        <w:pStyle w:val="Normal"/>
        <w:rPr>
          <w:rFonts w:ascii="Times New Roman" w:hAnsi="Times New Roman" w:cs="Times New Roman"/>
        </w:rPr>
      </w:pPr>
      <w:r>
        <w:rPr>
          <w:rFonts w:cs="Times New Roman" w:ascii="Times New Roman" w:hAnsi="Times New Roman"/>
        </w:rPr>
        <w:t xml:space="preserve">Figure 4. </w:t>
      </w:r>
      <w:r>
        <w:rPr>
          <w:rFonts w:cs="Times New Roman" w:ascii="Times New Roman" w:hAnsi="Times New Roman"/>
          <w:bCs/>
          <w:color w:val="FF0000"/>
        </w:rPr>
        <w:t>[will be added later]</w:t>
      </w:r>
    </w:p>
    <w:p>
      <w:pPr>
        <w:pStyle w:val="Normal"/>
        <w:rPr>
          <w:rFonts w:ascii="Times New Roman" w:hAnsi="Times New Roman" w:cs="Times New Roman"/>
        </w:rPr>
      </w:pPr>
      <w:r>
        <w:rPr>
          <w:rFonts w:cs="Times New Roman" w:ascii="Times New Roman" w:hAnsi="Times New Roman"/>
        </w:rPr>
        <w:t xml:space="preserve">Figure 5. </w:t>
      </w:r>
      <w:r>
        <w:rPr>
          <w:rFonts w:cs="Times New Roman" w:ascii="Times New Roman" w:hAnsi="Times New Roman"/>
          <w:bCs/>
          <w:color w:val="FF0000"/>
        </w:rPr>
        <w:t>[will be added later]</w:t>
      </w:r>
    </w:p>
    <w:p>
      <w:pPr>
        <w:pStyle w:val="Body"/>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Cs/>
          <w:strike/>
        </w:rPr>
      </w:pPr>
      <w:r>
        <w:rPr>
          <w:rFonts w:cs="Times New Roman" w:ascii="Times New Roman" w:hAnsi="Times New Roman"/>
          <w:bCs/>
          <w:strike/>
        </w:rPr>
      </w:r>
    </w:p>
    <w:p>
      <w:pPr>
        <w:pStyle w:val="Body"/>
        <w:jc w:val="center"/>
        <w:rPr>
          <w:rFonts w:ascii="Times New Roman" w:hAnsi="Times New Roman" w:cs="Times New Roman"/>
          <w:bCs/>
          <w:strike/>
        </w:rPr>
      </w:pPr>
      <w:r>
        <w:rPr>
          <w:rFonts w:cs="Times New Roman" w:ascii="Times New Roman" w:hAnsi="Times New Roman"/>
          <w:bCs/>
          <w:strike/>
        </w:rPr>
      </w:r>
    </w:p>
    <w:p>
      <w:pPr>
        <w:pStyle w:val="Body"/>
        <w:jc w:val="center"/>
        <w:rPr>
          <w:rFonts w:ascii="Times New Roman" w:hAnsi="Times New Roman" w:cs="Times New Roman"/>
          <w:bCs/>
          <w:strike/>
        </w:rPr>
      </w:pPr>
      <w:r>
        <w:rPr>
          <w:rFonts w:cs="Times New Roman" w:ascii="Times New Roman" w:hAnsi="Times New Roman"/>
          <w:bCs/>
          <w:strike/>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jc w:val="center"/>
        <w:rPr>
          <w:rFonts w:ascii="Times New Roman" w:hAnsi="Times New Roman" w:cs="Times New Roman"/>
          <w:bCs/>
        </w:rPr>
      </w:pPr>
      <w:r>
        <w:rPr>
          <w:rFonts w:cs="Times New Roman" w:ascii="Times New Roman" w:hAnsi="Times New Roman"/>
          <w:bCs/>
        </w:rPr>
      </w:r>
    </w:p>
    <w:p>
      <w:pPr>
        <w:pStyle w:val="Body"/>
        <w:rPr>
          <w:rFonts w:ascii="Times New Roman" w:hAnsi="Times New Roman" w:cs="Times New Roman"/>
          <w:bCs/>
        </w:rPr>
      </w:pPr>
      <w:r>
        <w:rPr>
          <w:rFonts w:cs="Times New Roman" w:ascii="Times New Roman" w:hAnsi="Times New Roman"/>
          <w:bCs/>
        </w:rPr>
      </w:r>
    </w:p>
    <w:p>
      <w:pPr>
        <w:pStyle w:val="Body"/>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 w:name="Helvetica">
    <w:altName w:val="Arial"/>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00"/>
  <w:mirrorMargin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EndNoteBibliographyChar" w:customStyle="1">
    <w:name w:val="EndNote Bibliography Char"/>
    <w:basedOn w:val="DefaultParagraphFont"/>
    <w:link w:val="EndNoteBibliography"/>
    <w:qFormat/>
    <w:rsid w:val="005f2096"/>
    <w:rPr>
      <w:rFonts w:ascii="Calibri" w:hAnsi="Calibri" w:cs="Calibri"/>
    </w:rPr>
  </w:style>
  <w:style w:type="character" w:styleId="BalloonTextChar" w:customStyle="1">
    <w:name w:val="Balloon Text Char"/>
    <w:basedOn w:val="DefaultParagraphFont"/>
    <w:link w:val="BalloonText"/>
    <w:uiPriority w:val="99"/>
    <w:semiHidden/>
    <w:qFormat/>
    <w:rsid w:val="00551c4b"/>
    <w:rPr>
      <w:rFonts w:ascii="Segoe UI" w:hAnsi="Segoe UI" w:cs="Segoe UI"/>
      <w:sz w:val="18"/>
      <w:szCs w:val="18"/>
    </w:rPr>
  </w:style>
  <w:style w:type="character" w:styleId="PlaceholderText">
    <w:name w:val="Placeholder Text"/>
    <w:basedOn w:val="DefaultParagraphFont"/>
    <w:uiPriority w:val="99"/>
    <w:semiHidden/>
    <w:qFormat/>
    <w:rsid w:val="00e06a5c"/>
    <w:rPr>
      <w:color w:val="808080"/>
    </w:rPr>
  </w:style>
  <w:style w:type="character" w:styleId="InternetLink">
    <w:name w:val="Internet Link"/>
    <w:basedOn w:val="DefaultParagraphFont"/>
    <w:uiPriority w:val="99"/>
    <w:unhideWhenUsed/>
    <w:rsid w:val="00fa7ff6"/>
    <w:rPr>
      <w:color w:val="0563C1" w:themeColor="hyperlink"/>
      <w:u w:val="single"/>
    </w:rPr>
  </w:style>
  <w:style w:type="character" w:styleId="UnresolvedMention">
    <w:name w:val="Unresolved Mention"/>
    <w:basedOn w:val="DefaultParagraphFont"/>
    <w:uiPriority w:val="99"/>
    <w:semiHidden/>
    <w:unhideWhenUsed/>
    <w:qFormat/>
    <w:rsid w:val="00fa7ff6"/>
    <w:rPr>
      <w:color w:val="605E5C"/>
      <w:shd w:fill="E1DFDD" w:val="clear"/>
    </w:rPr>
  </w:style>
  <w:style w:type="character" w:styleId="Annotationreference">
    <w:name w:val="annotation reference"/>
    <w:basedOn w:val="DefaultParagraphFont"/>
    <w:uiPriority w:val="99"/>
    <w:semiHidden/>
    <w:unhideWhenUsed/>
    <w:qFormat/>
    <w:rsid w:val="00f04d67"/>
    <w:rPr>
      <w:sz w:val="16"/>
      <w:szCs w:val="16"/>
    </w:rPr>
  </w:style>
  <w:style w:type="character" w:styleId="CommentTextChar" w:customStyle="1">
    <w:name w:val="Comment Text Char"/>
    <w:basedOn w:val="DefaultParagraphFont"/>
    <w:link w:val="CommentText"/>
    <w:uiPriority w:val="99"/>
    <w:semiHidden/>
    <w:qFormat/>
    <w:rsid w:val="00f04d67"/>
    <w:rPr>
      <w:sz w:val="20"/>
      <w:szCs w:val="20"/>
    </w:rPr>
  </w:style>
  <w:style w:type="character" w:styleId="CommentSubjectChar" w:customStyle="1">
    <w:name w:val="Comment Subject Char"/>
    <w:basedOn w:val="CommentTextChar"/>
    <w:link w:val="CommentSubject"/>
    <w:uiPriority w:val="99"/>
    <w:semiHidden/>
    <w:qFormat/>
    <w:rsid w:val="00f04d67"/>
    <w:rPr>
      <w:b/>
      <w:bCs/>
      <w:sz w:val="20"/>
      <w:szCs w:val="20"/>
    </w:rPr>
  </w:style>
  <w:style w:type="character" w:styleId="Fieldcontent" w:customStyle="1">
    <w:name w:val="field-content"/>
    <w:basedOn w:val="DefaultParagraphFont"/>
    <w:qFormat/>
    <w:rsid w:val="00676d4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ody" w:customStyle="1">
    <w:name w:val="Body"/>
    <w:qFormat/>
    <w:rsid w:val="00a26315"/>
    <w:pPr>
      <w:widowControl/>
      <w:pBdr/>
      <w:bidi w:val="0"/>
      <w:spacing w:lineRule="auto" w:line="240" w:before="0" w:after="0"/>
      <w:jc w:val="left"/>
    </w:pPr>
    <w:rPr>
      <w:rFonts w:ascii="Helvetica" w:hAnsi="Helvetica" w:eastAsia="Arial Unicode MS" w:cs="Arial Unicode MS"/>
      <w:color w:val="000000"/>
      <w:kern w:val="0"/>
      <w:sz w:val="22"/>
      <w:szCs w:val="22"/>
      <w:lang w:val="en-US" w:eastAsia="en-US" w:bidi="ar-SA"/>
    </w:rPr>
  </w:style>
  <w:style w:type="paragraph" w:styleId="EndNoteBibliography" w:customStyle="1">
    <w:name w:val="EndNote Bibliography"/>
    <w:basedOn w:val="Normal"/>
    <w:link w:val="EndNoteBibliographyChar"/>
    <w:qFormat/>
    <w:rsid w:val="005f2096"/>
    <w:pPr>
      <w:spacing w:lineRule="auto" w:line="240"/>
    </w:pPr>
    <w:rPr>
      <w:rFonts w:ascii="Calibri" w:hAnsi="Calibri" w:cs="Calibri"/>
    </w:rPr>
  </w:style>
  <w:style w:type="paragraph" w:styleId="BalloonText">
    <w:name w:val="Balloon Text"/>
    <w:basedOn w:val="Normal"/>
    <w:link w:val="BalloonTextChar"/>
    <w:uiPriority w:val="99"/>
    <w:semiHidden/>
    <w:unhideWhenUsed/>
    <w:qFormat/>
    <w:rsid w:val="00551c4b"/>
    <w:pPr>
      <w:spacing w:lineRule="auto" w:line="240" w:before="0" w:after="0"/>
    </w:pPr>
    <w:rPr>
      <w:rFonts w:ascii="Segoe UI" w:hAnsi="Segoe UI" w:cs="Segoe UI"/>
      <w:sz w:val="18"/>
      <w:szCs w:val="18"/>
    </w:rPr>
  </w:style>
  <w:style w:type="paragraph" w:styleId="Annotationtext">
    <w:name w:val="annotation text"/>
    <w:basedOn w:val="Normal"/>
    <w:link w:val="CommentTextChar"/>
    <w:uiPriority w:val="99"/>
    <w:semiHidden/>
    <w:unhideWhenUsed/>
    <w:qFormat/>
    <w:rsid w:val="00f04d67"/>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f04d67"/>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5d29f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1">
    <w:name w:val="Plain Table 1"/>
    <w:basedOn w:val="TableNormal"/>
    <w:uiPriority w:val="41"/>
    <w:rsid w:val="00531c5a"/>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7F995-8451-4042-952E-39F00F2720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1652</TotalTime>
  <Application>LibreOffice/6.0.7.3$Linux_X86_64 LibreOffice_project/00m0$Build-3</Application>
  <Pages>9</Pages>
  <Words>3137</Words>
  <Characters>15605</Characters>
  <CharactersWithSpaces>17789</CharactersWithSpaces>
  <Paragraphs>974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2021-05-07T15:27:00Z</dcterms:created>
  <dc:creator>Tyler Wilson</dc:creator>
  <dc:description/>
  <dc:language>en-US</dc:language>
  <cp:lastModifiedBy>Geoff Zahn</cp:lastModifiedBy>
  <dcterms:modified xsi:type="dcterms:W3CDTF">2021-05-20T12:11:35Z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