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FF6" w:rsidRPr="009B33AF" w:rsidRDefault="004C46C9" w:rsidP="00087F63">
      <w:pPr>
        <w:pStyle w:val="Cm"/>
        <w:jc w:val="center"/>
        <w:rPr>
          <w:lang w:val="en-GB"/>
        </w:rPr>
      </w:pPr>
      <w:r w:rsidRPr="009B33AF">
        <w:rPr>
          <w:lang w:val="en-GB"/>
        </w:rPr>
        <w:t>Platelet</w:t>
      </w:r>
      <w:r w:rsidR="00C301AD" w:rsidRPr="009B33AF">
        <w:rPr>
          <w:lang w:val="en-GB"/>
        </w:rPr>
        <w:t xml:space="preserve"> distribution</w:t>
      </w:r>
      <w:r w:rsidR="00270610" w:rsidRPr="009B33AF">
        <w:rPr>
          <w:lang w:val="en-GB"/>
        </w:rPr>
        <w:t xml:space="preserve"> in pipe</w:t>
      </w:r>
    </w:p>
    <w:p w:rsidR="00D125E3" w:rsidRPr="009B33AF" w:rsidRDefault="00D125E3">
      <w:pPr>
        <w:rPr>
          <w:lang w:val="en-GB"/>
        </w:rPr>
      </w:pPr>
    </w:p>
    <w:p w:rsidR="00474492" w:rsidRPr="009B33AF" w:rsidRDefault="0088482E" w:rsidP="00AA41CC">
      <w:pPr>
        <w:ind w:firstLine="284"/>
        <w:jc w:val="both"/>
        <w:rPr>
          <w:i/>
          <w:lang w:val="en-GB"/>
        </w:rPr>
      </w:pPr>
      <w:r w:rsidRPr="009B33AF">
        <w:rPr>
          <w:i/>
          <w:lang w:val="en-GB"/>
        </w:rPr>
        <w:t xml:space="preserve">In blood flow, the concentration is higher near the vessel wall. </w:t>
      </w:r>
      <w:r w:rsidR="00AA41CC" w:rsidRPr="009B33AF">
        <w:rPr>
          <w:i/>
          <w:lang w:val="en-GB"/>
        </w:rPr>
        <w:t xml:space="preserve">This caused by the size and shape difference between the larger red blood cells and the smaller platelets. </w:t>
      </w:r>
      <w:r w:rsidRPr="009B33AF">
        <w:rPr>
          <w:i/>
          <w:lang w:val="en-GB"/>
        </w:rPr>
        <w:t>The validation of the</w:t>
      </w:r>
      <w:r w:rsidR="006C7743" w:rsidRPr="009B33AF">
        <w:rPr>
          <w:i/>
          <w:lang w:val="en-GB"/>
        </w:rPr>
        <w:t xml:space="preserve"> simulated platelet</w:t>
      </w:r>
      <w:r w:rsidR="004C46C9" w:rsidRPr="009B33AF">
        <w:rPr>
          <w:i/>
          <w:lang w:val="en-GB"/>
        </w:rPr>
        <w:t xml:space="preserve"> distribution </w:t>
      </w:r>
      <w:r w:rsidRPr="009B33AF">
        <w:rPr>
          <w:i/>
          <w:lang w:val="en-GB"/>
        </w:rPr>
        <w:t>based</w:t>
      </w:r>
      <w:r w:rsidR="004C46C9" w:rsidRPr="009B33AF">
        <w:rPr>
          <w:i/>
          <w:lang w:val="en-GB"/>
        </w:rPr>
        <w:t xml:space="preserve"> on</w:t>
      </w:r>
      <w:r w:rsidRPr="009B33AF">
        <w:rPr>
          <w:i/>
          <w:lang w:val="en-GB"/>
        </w:rPr>
        <w:t xml:space="preserve"> </w:t>
      </w:r>
      <w:proofErr w:type="spellStart"/>
      <w:r w:rsidRPr="009B33AF">
        <w:rPr>
          <w:i/>
          <w:lang w:val="en-GB"/>
        </w:rPr>
        <w:t>Aarts</w:t>
      </w:r>
      <w:proofErr w:type="spellEnd"/>
      <w:r w:rsidRPr="009B33AF">
        <w:rPr>
          <w:i/>
          <w:lang w:val="en-GB"/>
        </w:rPr>
        <w:t xml:space="preserve"> </w:t>
      </w:r>
      <w:proofErr w:type="gramStart"/>
      <w:r w:rsidRPr="009B33AF">
        <w:rPr>
          <w:i/>
          <w:lang w:val="en-GB"/>
        </w:rPr>
        <w:t>et</w:t>
      </w:r>
      <w:proofErr w:type="gramEnd"/>
      <w:r w:rsidRPr="009B33AF">
        <w:rPr>
          <w:i/>
          <w:lang w:val="en-GB"/>
        </w:rPr>
        <w:t xml:space="preserve"> all [1] works</w:t>
      </w:r>
      <w:r w:rsidR="00AA41CC" w:rsidRPr="009B33AF">
        <w:rPr>
          <w:i/>
          <w:lang w:val="en-GB"/>
        </w:rPr>
        <w:t>.</w:t>
      </w:r>
    </w:p>
    <w:p w:rsidR="00D125E3" w:rsidRPr="009B33AF" w:rsidRDefault="00C301AD" w:rsidP="00087F63">
      <w:pPr>
        <w:pStyle w:val="Cmsor1"/>
        <w:rPr>
          <w:lang w:val="en-GB"/>
        </w:rPr>
      </w:pPr>
      <w:r w:rsidRPr="009B33AF">
        <w:rPr>
          <w:lang w:val="en-GB"/>
        </w:rPr>
        <w:t>Simulation</w:t>
      </w:r>
      <w:r w:rsidR="00D125E3" w:rsidRPr="009B33AF">
        <w:rPr>
          <w:lang w:val="en-GB"/>
        </w:rPr>
        <w:t>:</w:t>
      </w:r>
    </w:p>
    <w:p w:rsidR="00D249E7" w:rsidRPr="009B33AF" w:rsidRDefault="00D249E7" w:rsidP="00D125E3">
      <w:pPr>
        <w:pStyle w:val="Listaszerbekezds"/>
        <w:numPr>
          <w:ilvl w:val="0"/>
          <w:numId w:val="1"/>
        </w:numPr>
        <w:rPr>
          <w:lang w:val="en-GB"/>
        </w:rPr>
      </w:pPr>
      <w:r w:rsidRPr="009B33AF">
        <w:rPr>
          <w:lang w:val="en-GB"/>
        </w:rPr>
        <w:t>sta</w:t>
      </w:r>
      <w:r w:rsidR="00C301AD" w:rsidRPr="009B33AF">
        <w:rPr>
          <w:lang w:val="en-GB"/>
        </w:rPr>
        <w:t>t</w:t>
      </w:r>
      <w:r w:rsidRPr="009B33AF">
        <w:rPr>
          <w:lang w:val="en-GB"/>
        </w:rPr>
        <w:t>ion</w:t>
      </w:r>
      <w:r w:rsidR="009D6875" w:rsidRPr="009B33AF">
        <w:rPr>
          <w:lang w:val="en-GB"/>
        </w:rPr>
        <w:t>a</w:t>
      </w:r>
      <w:r w:rsidRPr="009B33AF">
        <w:rPr>
          <w:lang w:val="en-GB"/>
        </w:rPr>
        <w:t>r</w:t>
      </w:r>
      <w:r w:rsidR="009D6875" w:rsidRPr="009B33AF">
        <w:rPr>
          <w:lang w:val="en-GB"/>
        </w:rPr>
        <w:t>y</w:t>
      </w:r>
      <w:r w:rsidRPr="009B33AF">
        <w:rPr>
          <w:lang w:val="en-GB"/>
        </w:rPr>
        <w:t xml:space="preserve"> (</w:t>
      </w:r>
      <w:proofErr w:type="spellStart"/>
      <w:r w:rsidRPr="009B33AF">
        <w:rPr>
          <w:lang w:val="en-GB"/>
        </w:rPr>
        <w:t>Poiseuille</w:t>
      </w:r>
      <w:proofErr w:type="spellEnd"/>
      <w:r w:rsidRPr="009B33AF">
        <w:rPr>
          <w:lang w:val="en-GB"/>
        </w:rPr>
        <w:t>-prof</w:t>
      </w:r>
      <w:r w:rsidR="00C301AD" w:rsidRPr="009B33AF">
        <w:rPr>
          <w:lang w:val="en-GB"/>
        </w:rPr>
        <w:t>ile</w:t>
      </w:r>
      <w:r w:rsidR="009D6875" w:rsidRPr="009B33AF">
        <w:rPr>
          <w:lang w:val="en-GB"/>
        </w:rPr>
        <w:t>,</w:t>
      </w:r>
      <w:r w:rsidRPr="009B33AF">
        <w:rPr>
          <w:lang w:val="en-GB"/>
        </w:rPr>
        <w:t xml:space="preserve"> lamin</w:t>
      </w:r>
      <w:r w:rsidR="00C301AD" w:rsidRPr="009B33AF">
        <w:rPr>
          <w:lang w:val="en-GB"/>
        </w:rPr>
        <w:t>ar</w:t>
      </w:r>
      <w:r w:rsidRPr="009B33AF">
        <w:rPr>
          <w:lang w:val="en-GB"/>
        </w:rPr>
        <w:t xml:space="preserve"> </w:t>
      </w:r>
      <w:r w:rsidR="00C301AD" w:rsidRPr="009B33AF">
        <w:rPr>
          <w:lang w:val="en-GB"/>
        </w:rPr>
        <w:t>flow</w:t>
      </w:r>
      <w:r w:rsidRPr="009B33AF">
        <w:rPr>
          <w:lang w:val="en-GB"/>
        </w:rPr>
        <w:t>)</w:t>
      </w:r>
    </w:p>
    <w:p w:rsidR="00270610" w:rsidRPr="009B33AF" w:rsidRDefault="00270610" w:rsidP="00270610">
      <w:pPr>
        <w:pStyle w:val="Listaszerbekezds"/>
        <w:numPr>
          <w:ilvl w:val="0"/>
          <w:numId w:val="1"/>
        </w:numPr>
        <w:rPr>
          <w:lang w:val="en-GB"/>
        </w:rPr>
      </w:pPr>
      <w:r w:rsidRPr="009B33AF">
        <w:rPr>
          <w:lang w:val="en-GB"/>
        </w:rPr>
        <w:t>flow between two infinite planes</w:t>
      </w:r>
      <w:r w:rsidR="00DB0DA7" w:rsidRPr="009B33AF">
        <w:rPr>
          <w:lang w:val="en-GB"/>
        </w:rPr>
        <w:t xml:space="preserve"> (</w:t>
      </w:r>
      <w:proofErr w:type="spellStart"/>
      <w:r w:rsidR="00DB0DA7" w:rsidRPr="009B33AF">
        <w:rPr>
          <w:lang w:val="en-GB"/>
        </w:rPr>
        <w:t>pipe_long</w:t>
      </w:r>
      <w:proofErr w:type="spellEnd"/>
      <w:r w:rsidR="00DB0DA7" w:rsidRPr="009B33AF">
        <w:rPr>
          <w:lang w:val="en-GB"/>
        </w:rPr>
        <w:t>)</w:t>
      </w:r>
      <w:r w:rsidR="00643A7F">
        <w:rPr>
          <w:lang w:val="en-GB"/>
        </w:rPr>
        <w:t>, diameter: 3.09 [mm]</w:t>
      </w:r>
    </w:p>
    <w:p w:rsidR="00D125E3" w:rsidRPr="009B33AF" w:rsidRDefault="00D125E3" w:rsidP="00270610">
      <w:pPr>
        <w:pStyle w:val="Listaszerbekezds"/>
        <w:numPr>
          <w:ilvl w:val="0"/>
          <w:numId w:val="1"/>
        </w:numPr>
        <w:rPr>
          <w:lang w:val="en-GB"/>
        </w:rPr>
      </w:pPr>
      <w:r w:rsidRPr="009B33AF">
        <w:rPr>
          <w:lang w:val="en-GB"/>
        </w:rPr>
        <w:t xml:space="preserve">240 [1/s] </w:t>
      </w:r>
      <w:r w:rsidR="00C301AD" w:rsidRPr="009B33AF">
        <w:rPr>
          <w:lang w:val="en-GB"/>
        </w:rPr>
        <w:t>shear velocity near the wall</w:t>
      </w:r>
      <w:r w:rsidR="00485AE3" w:rsidRPr="009B33AF">
        <w:rPr>
          <w:lang w:val="en-GB"/>
        </w:rPr>
        <w:t xml:space="preserve"> (depends on Re</w:t>
      </w:r>
      <w:r w:rsidR="00CB79BF" w:rsidRPr="009B33AF">
        <w:rPr>
          <w:lang w:val="en-GB"/>
        </w:rPr>
        <w:t>-number</w:t>
      </w:r>
      <w:r w:rsidR="00485AE3" w:rsidRPr="009B33AF">
        <w:rPr>
          <w:lang w:val="en-GB"/>
        </w:rPr>
        <w:t xml:space="preserve"> )</w:t>
      </w:r>
    </w:p>
    <w:p w:rsidR="007D78DD" w:rsidRPr="00643A7F" w:rsidRDefault="00643A7F" w:rsidP="00643A7F">
      <w:pPr>
        <w:ind w:left="357" w:firstLine="284"/>
        <w:jc w:val="both"/>
        <w:rPr>
          <w:lang w:val="en-GB"/>
        </w:rPr>
      </w:pPr>
      <w:r>
        <w:rPr>
          <w:lang w:val="en-GB"/>
        </w:rPr>
        <w:t>I</w:t>
      </w:r>
      <w:r w:rsidR="007D78DD" w:rsidRPr="00643A7F">
        <w:rPr>
          <w:lang w:val="en-GB"/>
        </w:rPr>
        <w:t xml:space="preserve">n the medFlow2D program there are two parameters, which have effect on the platelet distribution: </w:t>
      </w:r>
      <w:proofErr w:type="spellStart"/>
      <w:r w:rsidR="007D78DD" w:rsidRPr="00643A7F">
        <w:rPr>
          <w:lang w:val="en-GB"/>
        </w:rPr>
        <w:t>margForcRatio</w:t>
      </w:r>
      <w:proofErr w:type="spellEnd"/>
      <w:r w:rsidR="007D78DD" w:rsidRPr="00643A7F">
        <w:rPr>
          <w:lang w:val="en-GB"/>
        </w:rPr>
        <w:t xml:space="preserve"> and </w:t>
      </w:r>
      <w:proofErr w:type="spellStart"/>
      <w:r w:rsidR="007D78DD" w:rsidRPr="00643A7F">
        <w:rPr>
          <w:lang w:val="en-GB"/>
        </w:rPr>
        <w:t>psDiffusion</w:t>
      </w:r>
      <w:proofErr w:type="spellEnd"/>
      <w:r w:rsidR="007D78DD" w:rsidRPr="00643A7F">
        <w:rPr>
          <w:lang w:val="en-GB"/>
        </w:rPr>
        <w:t xml:space="preserve">. </w:t>
      </w:r>
    </w:p>
    <w:p w:rsidR="00B521E2" w:rsidRPr="009B33AF" w:rsidRDefault="00474492" w:rsidP="00270610">
      <w:pPr>
        <w:rPr>
          <w:u w:val="single"/>
          <w:lang w:val="en-GB"/>
        </w:rPr>
      </w:pPr>
      <w:r w:rsidRPr="009B33AF">
        <w:rPr>
          <w:u w:val="single"/>
          <w:lang w:val="en-GB"/>
        </w:rPr>
        <w:t>Program setup: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B521E2" w:rsidRPr="009B33AF" w:rsidTr="009B33AF">
        <w:trPr>
          <w:jc w:val="center"/>
        </w:trPr>
        <w:tc>
          <w:tcPr>
            <w:tcW w:w="2268" w:type="dxa"/>
          </w:tcPr>
          <w:p w:rsidR="00B521E2" w:rsidRPr="009B33AF" w:rsidRDefault="00270610" w:rsidP="00270610">
            <w:pPr>
              <w:rPr>
                <w:lang w:val="en-GB"/>
              </w:rPr>
            </w:pPr>
            <w:proofErr w:type="spellStart"/>
            <w:r w:rsidRPr="009B33AF">
              <w:rPr>
                <w:lang w:val="en-GB"/>
              </w:rPr>
              <w:t>xRes</w:t>
            </w:r>
            <w:proofErr w:type="spellEnd"/>
            <w:r w:rsidRPr="009B33AF">
              <w:rPr>
                <w:lang w:val="en-GB"/>
              </w:rPr>
              <w:t>=2.89337e-5</w:t>
            </w:r>
          </w:p>
        </w:tc>
        <w:tc>
          <w:tcPr>
            <w:tcW w:w="2268" w:type="dxa"/>
          </w:tcPr>
          <w:p w:rsidR="00B521E2" w:rsidRPr="009B33AF" w:rsidRDefault="00270610" w:rsidP="00270610">
            <w:pPr>
              <w:ind w:left="36" w:firstLine="91"/>
              <w:rPr>
                <w:lang w:val="en-GB"/>
              </w:rPr>
            </w:pPr>
            <w:r w:rsidRPr="009B33AF">
              <w:rPr>
                <w:lang w:val="en-GB"/>
              </w:rPr>
              <w:t>Re=115.3</w:t>
            </w:r>
          </w:p>
        </w:tc>
      </w:tr>
      <w:tr w:rsidR="00B521E2" w:rsidRPr="009B33AF" w:rsidTr="009B33AF">
        <w:trPr>
          <w:jc w:val="center"/>
        </w:trPr>
        <w:tc>
          <w:tcPr>
            <w:tcW w:w="2268" w:type="dxa"/>
          </w:tcPr>
          <w:p w:rsidR="00B521E2" w:rsidRPr="009B33AF" w:rsidRDefault="00270610" w:rsidP="00270610">
            <w:pPr>
              <w:ind w:left="1"/>
              <w:rPr>
                <w:lang w:val="en-GB"/>
              </w:rPr>
            </w:pPr>
            <w:r w:rsidRPr="009B33AF">
              <w:rPr>
                <w:lang w:val="en-GB"/>
              </w:rPr>
              <w:t>viscosity=3.4e-6</w:t>
            </w:r>
          </w:p>
        </w:tc>
        <w:tc>
          <w:tcPr>
            <w:tcW w:w="2268" w:type="dxa"/>
          </w:tcPr>
          <w:p w:rsidR="00B521E2" w:rsidRPr="009B33AF" w:rsidRDefault="00270610" w:rsidP="00270610">
            <w:pPr>
              <w:ind w:left="36" w:firstLine="91"/>
              <w:rPr>
                <w:lang w:val="en-GB"/>
              </w:rPr>
            </w:pPr>
            <w:proofErr w:type="spellStart"/>
            <w:r w:rsidRPr="009B33AF">
              <w:rPr>
                <w:lang w:val="en-GB"/>
              </w:rPr>
              <w:t>psDiffusion</w:t>
            </w:r>
            <w:proofErr w:type="spellEnd"/>
            <w:r w:rsidRPr="009B33AF">
              <w:rPr>
                <w:lang w:val="en-GB"/>
              </w:rPr>
              <w:t>=2.5e-7</w:t>
            </w:r>
          </w:p>
        </w:tc>
      </w:tr>
      <w:tr w:rsidR="00B521E2" w:rsidRPr="009B33AF" w:rsidTr="009B33AF">
        <w:trPr>
          <w:jc w:val="center"/>
        </w:trPr>
        <w:tc>
          <w:tcPr>
            <w:tcW w:w="2268" w:type="dxa"/>
          </w:tcPr>
          <w:p w:rsidR="00B521E2" w:rsidRPr="009B33AF" w:rsidRDefault="00270610" w:rsidP="00270610">
            <w:pPr>
              <w:ind w:left="1"/>
              <w:rPr>
                <w:lang w:val="en-GB"/>
              </w:rPr>
            </w:pPr>
            <w:r w:rsidRPr="009B33AF">
              <w:rPr>
                <w:lang w:val="en-GB"/>
              </w:rPr>
              <w:t>density=1025</w:t>
            </w:r>
          </w:p>
        </w:tc>
        <w:tc>
          <w:tcPr>
            <w:tcW w:w="2268" w:type="dxa"/>
          </w:tcPr>
          <w:p w:rsidR="00B521E2" w:rsidRPr="009B33AF" w:rsidRDefault="00270610" w:rsidP="00270610">
            <w:pPr>
              <w:ind w:left="36" w:firstLine="91"/>
              <w:rPr>
                <w:lang w:val="en-GB"/>
              </w:rPr>
            </w:pPr>
            <w:proofErr w:type="spellStart"/>
            <w:r w:rsidRPr="009B33AF">
              <w:rPr>
                <w:lang w:val="en-GB"/>
              </w:rPr>
              <w:t>margForceRatio</w:t>
            </w:r>
            <w:proofErr w:type="spellEnd"/>
            <w:r w:rsidRPr="009B33AF">
              <w:rPr>
                <w:lang w:val="en-GB"/>
              </w:rPr>
              <w:t>=0.1</w:t>
            </w:r>
          </w:p>
        </w:tc>
      </w:tr>
    </w:tbl>
    <w:p w:rsidR="009B33AF" w:rsidRPr="009B33AF" w:rsidRDefault="00D40476" w:rsidP="00643A7F">
      <w:pPr>
        <w:keepNext/>
        <w:spacing w:before="160"/>
        <w:ind w:left="851" w:firstLine="284"/>
        <w:rPr>
          <w:lang w:val="en-GB"/>
        </w:rPr>
      </w:pPr>
      <w:r w:rsidRPr="009B33AF">
        <w:rPr>
          <w:lang w:val="en-GB"/>
        </w:rPr>
        <w:t xml:space="preserve">Due the stationary simulation, </w:t>
      </w:r>
      <w:r w:rsidR="009B33AF" w:rsidRPr="009B33AF">
        <w:rPr>
          <w:lang w:val="en-GB"/>
        </w:rPr>
        <w:t>the velocity inlet is constant</w:t>
      </w:r>
      <w:r w:rsidR="009B33AF">
        <w:rPr>
          <w:lang w:val="en-GB"/>
        </w:rPr>
        <w:t>, so</w:t>
      </w:r>
      <w:r w:rsidR="009B33AF" w:rsidRPr="009B33AF">
        <w:rPr>
          <w:lang w:val="en-GB"/>
        </w:rPr>
        <w:t xml:space="preserve"> </w:t>
      </w:r>
      <w:r w:rsidRPr="009B33AF">
        <w:rPr>
          <w:lang w:val="en-GB"/>
        </w:rPr>
        <w:t>in</w:t>
      </w:r>
      <w:r w:rsidR="009B33AF" w:rsidRPr="009B33AF">
        <w:rPr>
          <w:lang w:val="en-GB"/>
        </w:rPr>
        <w:t xml:space="preserve"> the</w:t>
      </w:r>
      <w:r w:rsidRPr="009B33AF">
        <w:rPr>
          <w:lang w:val="en-GB"/>
        </w:rPr>
        <w:t xml:space="preserve"> </w:t>
      </w:r>
      <w:r w:rsidRPr="009B33AF">
        <w:rPr>
          <w:i/>
          <w:lang w:val="en-GB"/>
        </w:rPr>
        <w:t>inletScale.txt</w:t>
      </w:r>
      <w:r w:rsidRPr="009B33AF">
        <w:rPr>
          <w:lang w:val="en-GB"/>
        </w:rPr>
        <w:t xml:space="preserve"> </w:t>
      </w:r>
      <w:r w:rsidR="009B33AF">
        <w:rPr>
          <w:lang w:val="en-GB"/>
        </w:rPr>
        <w:t xml:space="preserve">file </w:t>
      </w:r>
      <w:r w:rsidRPr="009B33AF">
        <w:rPr>
          <w:lang w:val="en-GB"/>
        </w:rPr>
        <w:t>the data should be looks like this</w:t>
      </w:r>
      <w:r w:rsidR="009B33AF" w:rsidRPr="009B33AF">
        <w:rPr>
          <w:lang w:val="en-GB"/>
        </w:rPr>
        <w:t>: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</w:tblGrid>
      <w:tr w:rsidR="009B33AF" w:rsidRPr="009B33AF" w:rsidTr="009B33AF">
        <w:trPr>
          <w:jc w:val="center"/>
        </w:trPr>
        <w:tc>
          <w:tcPr>
            <w:tcW w:w="567" w:type="dxa"/>
          </w:tcPr>
          <w:p w:rsidR="009B33AF" w:rsidRPr="009B33AF" w:rsidRDefault="009B33AF" w:rsidP="009B33AF">
            <w:pPr>
              <w:keepNext/>
              <w:jc w:val="center"/>
              <w:rPr>
                <w:lang w:val="en-GB"/>
              </w:rPr>
            </w:pPr>
            <w:r w:rsidRPr="009B33AF">
              <w:rPr>
                <w:lang w:val="en-GB"/>
              </w:rPr>
              <w:t>2</w:t>
            </w:r>
          </w:p>
        </w:tc>
        <w:tc>
          <w:tcPr>
            <w:tcW w:w="567" w:type="dxa"/>
          </w:tcPr>
          <w:p w:rsidR="009B33AF" w:rsidRPr="009B33AF" w:rsidRDefault="009B33AF" w:rsidP="009B33AF">
            <w:pPr>
              <w:keepNext/>
              <w:jc w:val="center"/>
              <w:rPr>
                <w:lang w:val="en-GB"/>
              </w:rPr>
            </w:pPr>
          </w:p>
        </w:tc>
      </w:tr>
      <w:tr w:rsidR="009B33AF" w:rsidRPr="009B33AF" w:rsidTr="009B33AF">
        <w:trPr>
          <w:jc w:val="center"/>
        </w:trPr>
        <w:tc>
          <w:tcPr>
            <w:tcW w:w="567" w:type="dxa"/>
          </w:tcPr>
          <w:p w:rsidR="009B33AF" w:rsidRPr="009B33AF" w:rsidRDefault="009B33AF" w:rsidP="009B33AF">
            <w:pPr>
              <w:keepNext/>
              <w:jc w:val="center"/>
              <w:rPr>
                <w:lang w:val="en-GB"/>
              </w:rPr>
            </w:pPr>
            <w:r w:rsidRPr="009B33AF"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9B33AF" w:rsidRPr="009B33AF" w:rsidRDefault="009B33AF" w:rsidP="009B33AF">
            <w:pPr>
              <w:keepNext/>
              <w:jc w:val="center"/>
              <w:rPr>
                <w:lang w:val="en-GB"/>
              </w:rPr>
            </w:pPr>
            <w:r w:rsidRPr="009B33AF">
              <w:rPr>
                <w:lang w:val="en-GB"/>
              </w:rPr>
              <w:t>1.0</w:t>
            </w:r>
          </w:p>
        </w:tc>
      </w:tr>
      <w:tr w:rsidR="009B33AF" w:rsidRPr="009B33AF" w:rsidTr="009B33AF">
        <w:trPr>
          <w:jc w:val="center"/>
        </w:trPr>
        <w:tc>
          <w:tcPr>
            <w:tcW w:w="567" w:type="dxa"/>
          </w:tcPr>
          <w:p w:rsidR="009B33AF" w:rsidRPr="009B33AF" w:rsidRDefault="009B33AF" w:rsidP="009B33AF">
            <w:pPr>
              <w:keepNext/>
              <w:jc w:val="center"/>
              <w:rPr>
                <w:lang w:val="en-GB"/>
              </w:rPr>
            </w:pPr>
            <w:r w:rsidRPr="009B33AF"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9B33AF" w:rsidRPr="009B33AF" w:rsidRDefault="009B33AF" w:rsidP="009B33AF">
            <w:pPr>
              <w:keepNext/>
              <w:jc w:val="center"/>
              <w:rPr>
                <w:lang w:val="en-GB"/>
              </w:rPr>
            </w:pPr>
            <w:r w:rsidRPr="009B33AF">
              <w:rPr>
                <w:lang w:val="en-GB"/>
              </w:rPr>
              <w:t>1.0</w:t>
            </w:r>
          </w:p>
        </w:tc>
      </w:tr>
    </w:tbl>
    <w:p w:rsidR="00D40476" w:rsidRPr="009B33AF" w:rsidRDefault="009B33AF" w:rsidP="009B33AF">
      <w:pPr>
        <w:pStyle w:val="Cmsor1"/>
        <w:rPr>
          <w:lang w:val="en-GB"/>
        </w:rPr>
      </w:pPr>
      <w:r w:rsidRPr="009B33AF">
        <w:rPr>
          <w:rStyle w:val="Cmsor1Char"/>
          <w:b/>
          <w:bCs/>
          <w:lang w:val="en-GB"/>
        </w:rPr>
        <w:t>Result</w:t>
      </w:r>
      <w:r w:rsidRPr="009B33AF">
        <w:rPr>
          <w:lang w:val="en-GB"/>
        </w:rPr>
        <w:t>s</w:t>
      </w:r>
      <w:r>
        <w:rPr>
          <w:lang w:val="en-GB"/>
        </w:rPr>
        <w:t>:</w:t>
      </w:r>
    </w:p>
    <w:p w:rsidR="009B33AF" w:rsidRPr="009B33AF" w:rsidRDefault="009B33AF" w:rsidP="00D40476">
      <w:pPr>
        <w:keepNext/>
        <w:rPr>
          <w:lang w:val="en-GB"/>
        </w:rPr>
      </w:pPr>
    </w:p>
    <w:p w:rsidR="006C7743" w:rsidRPr="009B33AF" w:rsidRDefault="006C7743" w:rsidP="00D40476">
      <w:pPr>
        <w:keepNext/>
        <w:jc w:val="center"/>
        <w:rPr>
          <w:lang w:val="en-GB"/>
        </w:rPr>
      </w:pPr>
      <w:r w:rsidRPr="009B33AF">
        <w:rPr>
          <w:noProof/>
          <w:lang w:val="en-GB" w:eastAsia="en-GB"/>
        </w:rPr>
        <w:drawing>
          <wp:inline distT="0" distB="0" distL="0" distR="0" wp14:anchorId="28B9B9B7" wp14:editId="78167C11">
            <wp:extent cx="5760720" cy="799299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pledrho_012309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92" w:rsidRPr="009B33AF" w:rsidRDefault="006C7743" w:rsidP="006C7743">
      <w:pPr>
        <w:pStyle w:val="Kpalrs"/>
        <w:jc w:val="center"/>
        <w:rPr>
          <w:lang w:val="en-GB"/>
        </w:rPr>
      </w:pPr>
      <w:r w:rsidRPr="009B33AF">
        <w:rPr>
          <w:color w:val="5B9BD5" w:themeColor="accent1"/>
          <w:lang w:val="en-GB"/>
        </w:rPr>
        <w:t xml:space="preserve">Figure </w:t>
      </w:r>
      <w:r w:rsidRPr="009B33AF">
        <w:rPr>
          <w:color w:val="5B9BD5" w:themeColor="accent1"/>
          <w:lang w:val="en-GB"/>
        </w:rPr>
        <w:fldChar w:fldCharType="begin"/>
      </w:r>
      <w:r w:rsidRPr="009B33AF">
        <w:rPr>
          <w:color w:val="5B9BD5" w:themeColor="accent1"/>
          <w:lang w:val="en-GB"/>
        </w:rPr>
        <w:instrText xml:space="preserve"> SEQ Figure \* ARABIC </w:instrText>
      </w:r>
      <w:r w:rsidRPr="009B33AF">
        <w:rPr>
          <w:color w:val="5B9BD5" w:themeColor="accent1"/>
          <w:lang w:val="en-GB"/>
        </w:rPr>
        <w:fldChar w:fldCharType="separate"/>
      </w:r>
      <w:r w:rsidR="00E93EF9">
        <w:rPr>
          <w:noProof/>
          <w:color w:val="5B9BD5" w:themeColor="accent1"/>
          <w:lang w:val="en-GB"/>
        </w:rPr>
        <w:t>1</w:t>
      </w:r>
      <w:r w:rsidRPr="009B33AF">
        <w:rPr>
          <w:color w:val="5B9BD5" w:themeColor="accent1"/>
          <w:lang w:val="en-GB"/>
        </w:rPr>
        <w:fldChar w:fldCharType="end"/>
      </w:r>
      <w:r w:rsidRPr="009B33AF">
        <w:rPr>
          <w:lang w:val="en-GB"/>
        </w:rPr>
        <w:t xml:space="preserve"> Platelet distribution in the geometry.</w:t>
      </w:r>
      <w:r w:rsidR="009B33AF">
        <w:rPr>
          <w:lang w:val="en-GB"/>
        </w:rPr>
        <w:t xml:space="preserve"> The higher concentration is near the wall.</w:t>
      </w:r>
    </w:p>
    <w:p w:rsidR="00D40476" w:rsidRPr="009B33AF" w:rsidRDefault="00D40476" w:rsidP="00D40476">
      <w:pPr>
        <w:keepNext/>
        <w:ind w:left="708"/>
        <w:rPr>
          <w:lang w:val="en-GB"/>
        </w:rPr>
      </w:pPr>
    </w:p>
    <w:p w:rsidR="00D40476" w:rsidRPr="009B33AF" w:rsidRDefault="006C7743" w:rsidP="00D40476">
      <w:pPr>
        <w:keepNext/>
        <w:jc w:val="center"/>
        <w:rPr>
          <w:lang w:val="en-GB"/>
        </w:rPr>
      </w:pPr>
      <w:r w:rsidRPr="009B33AF">
        <w:rPr>
          <w:noProof/>
          <w:lang w:val="en-GB" w:eastAsia="en-GB"/>
        </w:rPr>
        <w:drawing>
          <wp:inline distT="0" distB="0" distL="0" distR="0" wp14:anchorId="3FF08C48" wp14:editId="0A427C67">
            <wp:extent cx="5760720" cy="799299"/>
            <wp:effectExtent l="0" t="0" r="0" b="127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l_012309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43" w:rsidRPr="009B33AF" w:rsidRDefault="00D40476" w:rsidP="00D40476">
      <w:pPr>
        <w:pStyle w:val="Kpalrs"/>
        <w:jc w:val="center"/>
        <w:rPr>
          <w:lang w:val="en-GB"/>
        </w:rPr>
      </w:pPr>
      <w:r w:rsidRPr="009B33AF">
        <w:rPr>
          <w:color w:val="5B9BD5" w:themeColor="accent1"/>
          <w:lang w:val="en-GB"/>
        </w:rPr>
        <w:t xml:space="preserve">Figure </w:t>
      </w:r>
      <w:r w:rsidRPr="009B33AF">
        <w:rPr>
          <w:color w:val="5B9BD5" w:themeColor="accent1"/>
          <w:lang w:val="en-GB"/>
        </w:rPr>
        <w:fldChar w:fldCharType="begin"/>
      </w:r>
      <w:r w:rsidRPr="009B33AF">
        <w:rPr>
          <w:color w:val="5B9BD5" w:themeColor="accent1"/>
          <w:lang w:val="en-GB"/>
        </w:rPr>
        <w:instrText xml:space="preserve"> SEQ Figure \* ARABIC </w:instrText>
      </w:r>
      <w:r w:rsidRPr="009B33AF">
        <w:rPr>
          <w:color w:val="5B9BD5" w:themeColor="accent1"/>
          <w:lang w:val="en-GB"/>
        </w:rPr>
        <w:fldChar w:fldCharType="separate"/>
      </w:r>
      <w:r w:rsidR="00E93EF9">
        <w:rPr>
          <w:noProof/>
          <w:color w:val="5B9BD5" w:themeColor="accent1"/>
          <w:lang w:val="en-GB"/>
        </w:rPr>
        <w:t>2</w:t>
      </w:r>
      <w:r w:rsidRPr="009B33AF">
        <w:rPr>
          <w:color w:val="5B9BD5" w:themeColor="accent1"/>
          <w:lang w:val="en-GB"/>
        </w:rPr>
        <w:fldChar w:fldCharType="end"/>
      </w:r>
      <w:r w:rsidRPr="009B33AF">
        <w:rPr>
          <w:lang w:val="en-GB"/>
        </w:rPr>
        <w:t xml:space="preserve"> Velocity f</w:t>
      </w:r>
      <w:r w:rsidR="00643A7F">
        <w:rPr>
          <w:lang w:val="en-GB"/>
        </w:rPr>
        <w:t>ield at Re=115.3 (240 [1/s] shear velocity next to the wall)</w:t>
      </w:r>
      <w:r w:rsidR="00E93EF9">
        <w:rPr>
          <w:lang w:val="en-GB"/>
        </w:rPr>
        <w:t>.</w:t>
      </w:r>
      <w:bookmarkStart w:id="0" w:name="_GoBack"/>
      <w:bookmarkEnd w:id="0"/>
    </w:p>
    <w:p w:rsidR="00CB79BF" w:rsidRDefault="00C301AD" w:rsidP="00CB79BF">
      <w:pPr>
        <w:pStyle w:val="Cmsor1"/>
        <w:rPr>
          <w:lang w:val="en-GB"/>
        </w:rPr>
      </w:pPr>
      <w:r w:rsidRPr="009B33AF">
        <w:rPr>
          <w:lang w:val="en-GB"/>
        </w:rPr>
        <w:lastRenderedPageBreak/>
        <w:t>Validation</w:t>
      </w:r>
    </w:p>
    <w:p w:rsidR="00553171" w:rsidRPr="00553171" w:rsidRDefault="00553171" w:rsidP="00553171">
      <w:pPr>
        <w:rPr>
          <w:lang w:val="en-GB"/>
        </w:rPr>
      </w:pPr>
    </w:p>
    <w:p w:rsidR="00D125E3" w:rsidRPr="009B33AF" w:rsidRDefault="00CB79BF" w:rsidP="00DB0DA7">
      <w:pPr>
        <w:ind w:firstLine="284"/>
        <w:rPr>
          <w:lang w:val="en-GB"/>
        </w:rPr>
      </w:pPr>
      <w:r w:rsidRPr="009B33AF">
        <w:rPr>
          <w:lang w:val="en-GB"/>
        </w:rPr>
        <w:t xml:space="preserve">The simulated concentration distribution was at haematocrit of </w:t>
      </w:r>
      <w:r w:rsidR="002A3907" w:rsidRPr="009B33AF">
        <w:rPr>
          <w:lang w:val="en-GB"/>
        </w:rPr>
        <w:t>0</w:t>
      </w:r>
      <w:proofErr w:type="gramStart"/>
      <w:r w:rsidR="002A3907" w:rsidRPr="009B33AF">
        <w:rPr>
          <w:lang w:val="en-GB"/>
        </w:rPr>
        <w:t>,6</w:t>
      </w:r>
      <w:proofErr w:type="gramEnd"/>
      <w:r w:rsidRPr="009B33AF">
        <w:rPr>
          <w:lang w:val="en-GB"/>
        </w:rPr>
        <w:t>. Th</w:t>
      </w:r>
      <w:r w:rsidR="009D6875" w:rsidRPr="009B33AF">
        <w:rPr>
          <w:lang w:val="en-GB"/>
        </w:rPr>
        <w:t>e litera</w:t>
      </w:r>
      <w:r w:rsidR="00643A7F">
        <w:rPr>
          <w:lang w:val="en-GB"/>
        </w:rPr>
        <w:t>ry</w:t>
      </w:r>
      <w:r w:rsidR="009D6875" w:rsidRPr="009B33AF">
        <w:rPr>
          <w:lang w:val="en-GB"/>
        </w:rPr>
        <w:t xml:space="preserve"> distribution</w:t>
      </w:r>
      <w:r w:rsidRPr="009B33AF">
        <w:rPr>
          <w:lang w:val="en-GB"/>
        </w:rPr>
        <w:t xml:space="preserve"> can be seen in </w:t>
      </w:r>
      <w:proofErr w:type="spellStart"/>
      <w:r w:rsidRPr="009B33AF">
        <w:rPr>
          <w:i/>
          <w:lang w:val="en-GB"/>
        </w:rPr>
        <w:t>Aarts</w:t>
      </w:r>
      <w:proofErr w:type="spellEnd"/>
      <w:r w:rsidRPr="009B33AF">
        <w:rPr>
          <w:i/>
          <w:lang w:val="en-GB"/>
        </w:rPr>
        <w:t xml:space="preserve"> </w:t>
      </w:r>
      <w:proofErr w:type="gramStart"/>
      <w:r w:rsidRPr="009B33AF">
        <w:rPr>
          <w:i/>
          <w:lang w:val="en-GB"/>
        </w:rPr>
        <w:t>et</w:t>
      </w:r>
      <w:proofErr w:type="gramEnd"/>
      <w:r w:rsidRPr="009B33AF">
        <w:rPr>
          <w:i/>
          <w:lang w:val="en-GB"/>
        </w:rPr>
        <w:t xml:space="preserve"> all</w:t>
      </w:r>
      <w:r w:rsidRPr="009B33AF">
        <w:rPr>
          <w:lang w:val="en-GB"/>
        </w:rPr>
        <w:t xml:space="preserve"> </w:t>
      </w:r>
      <w:r w:rsidR="00CF6F9E" w:rsidRPr="009B33AF">
        <w:rPr>
          <w:lang w:val="en-GB"/>
        </w:rPr>
        <w:t xml:space="preserve">[1] </w:t>
      </w:r>
      <w:r w:rsidR="009D6875" w:rsidRPr="009B33AF">
        <w:rPr>
          <w:lang w:val="en-GB"/>
        </w:rPr>
        <w:t>works, on Figure3 C.</w:t>
      </w:r>
      <w:r w:rsidRPr="009B33AF">
        <w:rPr>
          <w:lang w:val="en-GB"/>
        </w:rPr>
        <w:t xml:space="preserve"> </w:t>
      </w:r>
      <w:r w:rsidR="009D6875" w:rsidRPr="009B33AF">
        <w:rPr>
          <w:lang w:val="en-GB"/>
        </w:rPr>
        <w:t>To compare the two distribution, the litera</w:t>
      </w:r>
      <w:r w:rsidR="00643A7F">
        <w:rPr>
          <w:lang w:val="en-GB"/>
        </w:rPr>
        <w:t>ry</w:t>
      </w:r>
      <w:r w:rsidR="009D6875" w:rsidRPr="009B33AF">
        <w:rPr>
          <w:lang w:val="en-GB"/>
        </w:rPr>
        <w:t xml:space="preserve"> values</w:t>
      </w:r>
      <w:r w:rsidR="00FE6085" w:rsidRPr="009B33AF">
        <w:rPr>
          <w:lang w:val="en-GB"/>
        </w:rPr>
        <w:t xml:space="preserve"> divided by the largest value (to get the relative concentrations), and the</w:t>
      </w:r>
      <w:r w:rsidRPr="009B33AF">
        <w:rPr>
          <w:lang w:val="en-GB"/>
        </w:rPr>
        <w:t xml:space="preserve"> simulated data transformed </w:t>
      </w:r>
      <w:r w:rsidR="00DB0DA7" w:rsidRPr="009B33AF">
        <w:rPr>
          <w:lang w:val="en-GB"/>
        </w:rPr>
        <w:t>by the (1) equation</w:t>
      </w:r>
      <w:r w:rsidR="00FE6085" w:rsidRPr="009B33AF">
        <w:rPr>
          <w:lang w:val="en-GB"/>
        </w:rPr>
        <w:t>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675"/>
      </w:tblGrid>
      <w:tr w:rsidR="007B7A6C" w:rsidRPr="009B33AF" w:rsidTr="007B7A6C">
        <w:tc>
          <w:tcPr>
            <w:tcW w:w="8613" w:type="dxa"/>
            <w:vAlign w:val="center"/>
          </w:tcPr>
          <w:p w:rsidR="007B7A6C" w:rsidRPr="009B33AF" w:rsidRDefault="00FE3FBB" w:rsidP="007B7A6C">
            <w:pPr>
              <w:jc w:val="center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tr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max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sim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lang w:val="en-GB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GB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min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ref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min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sim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  <w:lang w:val="en-GB"/>
                  </w:rPr>
                  <m:t>+1=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min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ref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min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sim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∙x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min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sim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GB"/>
                  </w:rPr>
                  <m:t>∙x-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min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ref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min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sim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  <w:lang w:val="en-GB"/>
                  </w:rPr>
                  <m:t>+1</m:t>
                </m:r>
              </m:oMath>
            </m:oMathPara>
          </w:p>
        </w:tc>
        <w:tc>
          <w:tcPr>
            <w:tcW w:w="675" w:type="dxa"/>
            <w:vAlign w:val="center"/>
          </w:tcPr>
          <w:p w:rsidR="007B7A6C" w:rsidRPr="009B33AF" w:rsidRDefault="007B7A6C" w:rsidP="007B7A6C">
            <w:pPr>
              <w:jc w:val="center"/>
              <w:rPr>
                <w:lang w:val="en-GB"/>
              </w:rPr>
            </w:pPr>
            <w:r w:rsidRPr="009B33AF">
              <w:rPr>
                <w:lang w:val="en-GB"/>
              </w:rPr>
              <w:t>(1)</w:t>
            </w:r>
          </w:p>
        </w:tc>
      </w:tr>
    </w:tbl>
    <w:p w:rsidR="007B7A6C" w:rsidRPr="009B33AF" w:rsidRDefault="007B7A6C">
      <w:pPr>
        <w:rPr>
          <w:lang w:val="en-GB"/>
        </w:rPr>
      </w:pPr>
    </w:p>
    <w:p w:rsidR="00087F63" w:rsidRPr="009B33AF" w:rsidRDefault="002A3907" w:rsidP="007B7A6C">
      <w:pPr>
        <w:rPr>
          <w:lang w:val="en-GB"/>
        </w:rPr>
      </w:pPr>
      <w:proofErr w:type="gramStart"/>
      <w:r w:rsidRPr="009B33AF">
        <w:rPr>
          <w:lang w:val="en-GB"/>
        </w:rPr>
        <w:t>where</w:t>
      </w:r>
      <w:proofErr w:type="gramEnd"/>
      <w:r w:rsidRPr="009B33AF">
        <w:rPr>
          <w:lang w:val="en-GB"/>
        </w:rPr>
        <w:t>:</w:t>
      </w:r>
    </w:p>
    <w:p w:rsidR="002A3907" w:rsidRPr="009B33AF" w:rsidRDefault="00FE3FBB" w:rsidP="007B7A6C">
      <w:pPr>
        <w:ind w:left="708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tr</m:t>
            </m:r>
          </m:sub>
        </m:sSub>
      </m:oMath>
      <w:r w:rsidR="00B138BE" w:rsidRPr="009B33AF">
        <w:rPr>
          <w:rFonts w:eastAsiaTheme="minorEastAsia"/>
          <w:lang w:val="en-GB"/>
        </w:rPr>
        <w:t xml:space="preserve"> – </w:t>
      </w:r>
      <w:proofErr w:type="gramStart"/>
      <w:r w:rsidR="00B138BE" w:rsidRPr="009B33AF">
        <w:rPr>
          <w:rFonts w:eastAsiaTheme="minorEastAsia"/>
          <w:lang w:val="en-GB"/>
        </w:rPr>
        <w:t>the</w:t>
      </w:r>
      <w:proofErr w:type="gramEnd"/>
      <w:r w:rsidR="00B138BE" w:rsidRPr="009B33AF">
        <w:rPr>
          <w:rFonts w:eastAsiaTheme="minorEastAsia"/>
          <w:lang w:val="en-GB"/>
        </w:rPr>
        <w:t xml:space="preserve"> transformed relative platelet concentration</w:t>
      </w:r>
    </w:p>
    <w:p w:rsidR="002A3907" w:rsidRPr="009B33AF" w:rsidRDefault="00FE3FBB" w:rsidP="007B7A6C">
      <w:pPr>
        <w:ind w:left="708"/>
        <w:rPr>
          <w:rFonts w:eastAsiaTheme="minorEastAsia"/>
          <w:lang w:val="en-GB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min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ref</m:t>
            </m:r>
          </m:sup>
        </m:sSubSup>
      </m:oMath>
      <w:r w:rsidR="00B138BE" w:rsidRPr="009B33AF">
        <w:rPr>
          <w:rFonts w:eastAsiaTheme="minorEastAsia"/>
          <w:lang w:val="en-GB"/>
        </w:rPr>
        <w:t xml:space="preserve"> – </w:t>
      </w:r>
      <w:proofErr w:type="gramStart"/>
      <w:r w:rsidR="00B138BE" w:rsidRPr="009B33AF">
        <w:rPr>
          <w:rFonts w:eastAsiaTheme="minorEastAsia"/>
          <w:lang w:val="en-GB"/>
        </w:rPr>
        <w:t>the</w:t>
      </w:r>
      <w:proofErr w:type="gramEnd"/>
      <w:r w:rsidR="00B138BE" w:rsidRPr="009B33AF">
        <w:rPr>
          <w:rFonts w:eastAsiaTheme="minorEastAsia"/>
          <w:lang w:val="en-GB"/>
        </w:rPr>
        <w:t xml:space="preserve"> lowest value in the reference </w:t>
      </w:r>
      <w:r w:rsidR="00CB79BF" w:rsidRPr="009B33AF">
        <w:rPr>
          <w:rFonts w:eastAsiaTheme="minorEastAsia"/>
          <w:lang w:val="en-GB"/>
        </w:rPr>
        <w:t xml:space="preserve">relative </w:t>
      </w:r>
      <w:r w:rsidR="00B138BE" w:rsidRPr="009B33AF">
        <w:rPr>
          <w:rFonts w:eastAsiaTheme="minorEastAsia"/>
          <w:lang w:val="en-GB"/>
        </w:rPr>
        <w:t>platelets concentration</w:t>
      </w:r>
    </w:p>
    <w:p w:rsidR="002A3907" w:rsidRPr="009B33AF" w:rsidRDefault="00FE3FBB" w:rsidP="007B7A6C">
      <w:pPr>
        <w:ind w:left="708"/>
        <w:rPr>
          <w:rFonts w:eastAsiaTheme="minorEastAsia"/>
          <w:lang w:val="en-GB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min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sim</m:t>
            </m:r>
          </m:sup>
        </m:sSubSup>
        <m:r>
          <w:rPr>
            <w:rFonts w:ascii="Cambria Math" w:eastAsiaTheme="minorEastAsia" w:hAnsi="Cambria Math"/>
            <w:lang w:val="en-GB"/>
          </w:rPr>
          <m:t>-</m:t>
        </m:r>
      </m:oMath>
      <w:r w:rsidR="00B138BE" w:rsidRPr="009B33AF">
        <w:rPr>
          <w:rFonts w:eastAsiaTheme="minorEastAsia"/>
          <w:lang w:val="en-GB"/>
        </w:rPr>
        <w:t xml:space="preserve"> </w:t>
      </w:r>
      <w:proofErr w:type="gramStart"/>
      <w:r w:rsidR="00B138BE" w:rsidRPr="009B33AF">
        <w:rPr>
          <w:rFonts w:eastAsiaTheme="minorEastAsia"/>
          <w:lang w:val="en-GB"/>
        </w:rPr>
        <w:t>the</w:t>
      </w:r>
      <w:proofErr w:type="gramEnd"/>
      <w:r w:rsidR="00B138BE" w:rsidRPr="009B33AF">
        <w:rPr>
          <w:rFonts w:eastAsiaTheme="minorEastAsia"/>
          <w:lang w:val="en-GB"/>
        </w:rPr>
        <w:t xml:space="preserve"> lowest value in the simulated platelets concentration </w:t>
      </w:r>
    </w:p>
    <w:p w:rsidR="002A3907" w:rsidRPr="009B33AF" w:rsidRDefault="00FE3FBB" w:rsidP="007B7A6C">
      <w:pPr>
        <w:ind w:left="708"/>
        <w:rPr>
          <w:rFonts w:eastAsiaTheme="minorEastAsia"/>
          <w:lang w:val="en-GB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max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sim</m:t>
            </m:r>
          </m:sup>
        </m:sSubSup>
        <m:r>
          <w:rPr>
            <w:rFonts w:ascii="Cambria Math" w:eastAsiaTheme="minorEastAsia" w:hAnsi="Cambria Math"/>
            <w:lang w:val="en-GB"/>
          </w:rPr>
          <m:t>-</m:t>
        </m:r>
      </m:oMath>
      <w:r w:rsidR="00B138BE" w:rsidRPr="009B33AF">
        <w:rPr>
          <w:rFonts w:eastAsiaTheme="minorEastAsia"/>
          <w:lang w:val="en-GB"/>
        </w:rPr>
        <w:t xml:space="preserve"> </w:t>
      </w:r>
      <w:proofErr w:type="gramStart"/>
      <w:r w:rsidR="00B138BE" w:rsidRPr="009B33AF">
        <w:rPr>
          <w:rFonts w:eastAsiaTheme="minorEastAsia"/>
          <w:lang w:val="en-GB"/>
        </w:rPr>
        <w:t>the</w:t>
      </w:r>
      <w:proofErr w:type="gramEnd"/>
      <w:r w:rsidR="00B138BE" w:rsidRPr="009B33AF">
        <w:rPr>
          <w:rFonts w:eastAsiaTheme="minorEastAsia"/>
          <w:lang w:val="en-GB"/>
        </w:rPr>
        <w:t xml:space="preserve"> highest value in the simulated platelets concentration</w:t>
      </w:r>
    </w:p>
    <w:p w:rsidR="002A3907" w:rsidRPr="009B33AF" w:rsidRDefault="002A3907" w:rsidP="00FE6085">
      <w:pPr>
        <w:ind w:left="708"/>
        <w:rPr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x-</m:t>
        </m:r>
      </m:oMath>
      <w:r w:rsidR="00FE6085" w:rsidRPr="009B33AF">
        <w:rPr>
          <w:rFonts w:eastAsiaTheme="minorEastAsia"/>
          <w:lang w:val="en-GB"/>
        </w:rPr>
        <w:t xml:space="preserve"> </w:t>
      </w:r>
      <w:proofErr w:type="gramStart"/>
      <w:r w:rsidR="00FE6085" w:rsidRPr="009B33AF">
        <w:rPr>
          <w:rFonts w:eastAsiaTheme="minorEastAsia"/>
          <w:lang w:val="en-GB"/>
        </w:rPr>
        <w:t>the</w:t>
      </w:r>
      <w:proofErr w:type="gramEnd"/>
      <w:r w:rsidR="00FE6085" w:rsidRPr="009B33AF">
        <w:rPr>
          <w:rFonts w:eastAsiaTheme="minorEastAsia"/>
          <w:lang w:val="en-GB"/>
        </w:rPr>
        <w:t xml:space="preserve"> simulated platelet concentration value</w:t>
      </w:r>
    </w:p>
    <w:p w:rsidR="002A3907" w:rsidRPr="009B33AF" w:rsidRDefault="002A3907">
      <w:pPr>
        <w:rPr>
          <w:lang w:val="en-GB"/>
        </w:rPr>
      </w:pPr>
    </w:p>
    <w:p w:rsidR="00485AE3" w:rsidRPr="009B33AF" w:rsidRDefault="00485AE3" w:rsidP="006E0B15">
      <w:pPr>
        <w:jc w:val="center"/>
        <w:rPr>
          <w:lang w:val="en-GB"/>
        </w:rPr>
      </w:pPr>
    </w:p>
    <w:p w:rsidR="002C6233" w:rsidRPr="009B33AF" w:rsidRDefault="00485AE3" w:rsidP="002C6233">
      <w:pPr>
        <w:keepNext/>
        <w:jc w:val="center"/>
        <w:rPr>
          <w:lang w:val="en-GB"/>
        </w:rPr>
      </w:pPr>
      <w:r w:rsidRPr="009B33AF">
        <w:rPr>
          <w:noProof/>
          <w:lang w:val="en-GB" w:eastAsia="en-GB"/>
        </w:rPr>
        <w:drawing>
          <wp:inline distT="0" distB="0" distL="0" distR="0" wp14:anchorId="5C60AC78" wp14:editId="03C54E24">
            <wp:extent cx="4320000" cy="3023870"/>
            <wp:effectExtent l="0" t="0" r="4445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2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5AE3" w:rsidRPr="009B33AF" w:rsidRDefault="002C6233" w:rsidP="002C6233">
      <w:pPr>
        <w:pStyle w:val="Kpalrs"/>
        <w:jc w:val="center"/>
        <w:rPr>
          <w:lang w:val="en-GB"/>
        </w:rPr>
      </w:pPr>
      <w:r w:rsidRPr="009B33AF">
        <w:rPr>
          <w:color w:val="5B9BD5" w:themeColor="accent1"/>
          <w:lang w:val="en-GB"/>
        </w:rPr>
        <w:t xml:space="preserve">Figure </w:t>
      </w:r>
      <w:r w:rsidRPr="009B33AF">
        <w:rPr>
          <w:color w:val="5B9BD5" w:themeColor="accent1"/>
          <w:lang w:val="en-GB"/>
        </w:rPr>
        <w:fldChar w:fldCharType="begin"/>
      </w:r>
      <w:r w:rsidRPr="009B33AF">
        <w:rPr>
          <w:color w:val="5B9BD5" w:themeColor="accent1"/>
          <w:lang w:val="en-GB"/>
        </w:rPr>
        <w:instrText xml:space="preserve"> SEQ Figure \* ARABIC </w:instrText>
      </w:r>
      <w:r w:rsidRPr="009B33AF">
        <w:rPr>
          <w:color w:val="5B9BD5" w:themeColor="accent1"/>
          <w:lang w:val="en-GB"/>
        </w:rPr>
        <w:fldChar w:fldCharType="separate"/>
      </w:r>
      <w:r w:rsidR="00E93EF9">
        <w:rPr>
          <w:noProof/>
          <w:color w:val="5B9BD5" w:themeColor="accent1"/>
          <w:lang w:val="en-GB"/>
        </w:rPr>
        <w:t>3</w:t>
      </w:r>
      <w:r w:rsidRPr="009B33AF">
        <w:rPr>
          <w:color w:val="5B9BD5" w:themeColor="accent1"/>
          <w:lang w:val="en-GB"/>
        </w:rPr>
        <w:fldChar w:fldCharType="end"/>
      </w:r>
      <w:r w:rsidRPr="009B33AF">
        <w:rPr>
          <w:lang w:val="en-GB"/>
        </w:rPr>
        <w:t xml:space="preserve"> </w:t>
      </w:r>
      <w:proofErr w:type="gramStart"/>
      <w:r w:rsidRPr="009B33AF">
        <w:rPr>
          <w:lang w:val="en-GB"/>
        </w:rPr>
        <w:t>The</w:t>
      </w:r>
      <w:proofErr w:type="gramEnd"/>
      <w:r w:rsidRPr="009B33AF">
        <w:rPr>
          <w:lang w:val="en-GB"/>
        </w:rPr>
        <w:t xml:space="preserve"> linear transformation of the simulation data.</w:t>
      </w:r>
    </w:p>
    <w:p w:rsidR="00485AE3" w:rsidRPr="009B33AF" w:rsidRDefault="00485AE3" w:rsidP="006E0B15">
      <w:pPr>
        <w:jc w:val="center"/>
        <w:rPr>
          <w:lang w:val="en-GB"/>
        </w:rPr>
      </w:pPr>
    </w:p>
    <w:p w:rsidR="00643A7F" w:rsidRDefault="00553171" w:rsidP="00553171">
      <w:pPr>
        <w:keepNext/>
        <w:ind w:firstLine="284"/>
        <w:jc w:val="both"/>
        <w:rPr>
          <w:lang w:val="en-GB"/>
        </w:rPr>
      </w:pPr>
      <w:r>
        <w:rPr>
          <w:lang w:val="en-GB"/>
        </w:rPr>
        <w:lastRenderedPageBreak/>
        <w:t xml:space="preserve">The simulation time was 2 [s], and the examined cross-section was at the middle of the geometry. The </w:t>
      </w:r>
      <w:r w:rsidRPr="00553171">
        <w:rPr>
          <w:color w:val="5B9BD5" w:themeColor="accent1"/>
          <w:lang w:val="en-GB"/>
        </w:rPr>
        <w:t>Figure 4</w:t>
      </w:r>
      <w:r>
        <w:rPr>
          <w:lang w:val="en-GB"/>
        </w:rPr>
        <w:t xml:space="preserve"> shows the simulated and the literary (reference) platelet profile</w:t>
      </w:r>
      <w:r w:rsidR="00E93EF9">
        <w:rPr>
          <w:lang w:val="en-GB"/>
        </w:rPr>
        <w:t>s</w:t>
      </w:r>
      <w:r>
        <w:rPr>
          <w:lang w:val="en-GB"/>
        </w:rPr>
        <w:t xml:space="preserve">. </w:t>
      </w:r>
      <w:r w:rsidR="00CC0F23">
        <w:rPr>
          <w:lang w:val="en-GB"/>
        </w:rPr>
        <w:t xml:space="preserve">The distributions </w:t>
      </w:r>
      <w:r w:rsidR="00CC0F23" w:rsidRPr="00CC0F23">
        <w:rPr>
          <w:lang w:val="en-GB"/>
        </w:rPr>
        <w:t>are very close to each other</w:t>
      </w:r>
      <w:r w:rsidR="00CC0F23">
        <w:rPr>
          <w:lang w:val="en-GB"/>
        </w:rPr>
        <w:t xml:space="preserve">, and the difference between these curves can be minimized with </w:t>
      </w:r>
      <w:r w:rsidR="00F4737A">
        <w:rPr>
          <w:lang w:val="en-GB"/>
        </w:rPr>
        <w:t>the parameters</w:t>
      </w:r>
      <w:r w:rsidR="00F4737A" w:rsidRPr="00F4737A">
        <w:rPr>
          <w:lang w:val="en-GB"/>
        </w:rPr>
        <w:t xml:space="preserve"> </w:t>
      </w:r>
      <w:r w:rsidR="00F4737A">
        <w:rPr>
          <w:lang w:val="en-GB"/>
        </w:rPr>
        <w:t>refining</w:t>
      </w:r>
      <w:r w:rsidR="00CC0F23">
        <w:rPr>
          <w:lang w:val="en-GB"/>
        </w:rPr>
        <w:t>.</w:t>
      </w:r>
    </w:p>
    <w:p w:rsidR="00643A7F" w:rsidRDefault="00643A7F" w:rsidP="002C6233">
      <w:pPr>
        <w:keepNext/>
        <w:jc w:val="center"/>
        <w:rPr>
          <w:lang w:val="en-GB"/>
        </w:rPr>
      </w:pPr>
    </w:p>
    <w:p w:rsidR="00643A7F" w:rsidRDefault="00643A7F" w:rsidP="002C6233">
      <w:pPr>
        <w:keepNext/>
        <w:jc w:val="center"/>
        <w:rPr>
          <w:lang w:val="en-GB"/>
        </w:rPr>
      </w:pPr>
    </w:p>
    <w:p w:rsidR="002C6233" w:rsidRPr="009B33AF" w:rsidRDefault="006E0B15" w:rsidP="002C6233">
      <w:pPr>
        <w:keepNext/>
        <w:jc w:val="center"/>
        <w:rPr>
          <w:lang w:val="en-GB"/>
        </w:rPr>
      </w:pPr>
      <w:r w:rsidRPr="009B33AF">
        <w:rPr>
          <w:noProof/>
          <w:lang w:val="en-GB" w:eastAsia="en-GB"/>
        </w:rPr>
        <w:drawing>
          <wp:inline distT="0" distB="0" distL="0" distR="0" wp14:anchorId="3E0CEB6F" wp14:editId="10B0DD90">
            <wp:extent cx="4320000" cy="3066212"/>
            <wp:effectExtent l="0" t="0" r="4445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66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F63" w:rsidRPr="009B33AF" w:rsidRDefault="002C6233" w:rsidP="002C6233">
      <w:pPr>
        <w:pStyle w:val="Kpalrs"/>
        <w:jc w:val="center"/>
        <w:rPr>
          <w:lang w:val="en-GB"/>
        </w:rPr>
      </w:pPr>
      <w:r w:rsidRPr="009B33AF">
        <w:rPr>
          <w:color w:val="5B9BD5" w:themeColor="accent1"/>
          <w:lang w:val="en-GB"/>
        </w:rPr>
        <w:t xml:space="preserve">Figure </w:t>
      </w:r>
      <w:r w:rsidRPr="009B33AF">
        <w:rPr>
          <w:color w:val="5B9BD5" w:themeColor="accent1"/>
          <w:lang w:val="en-GB"/>
        </w:rPr>
        <w:fldChar w:fldCharType="begin"/>
      </w:r>
      <w:r w:rsidRPr="009B33AF">
        <w:rPr>
          <w:color w:val="5B9BD5" w:themeColor="accent1"/>
          <w:lang w:val="en-GB"/>
        </w:rPr>
        <w:instrText xml:space="preserve"> SEQ Figure \* ARABIC </w:instrText>
      </w:r>
      <w:r w:rsidRPr="009B33AF">
        <w:rPr>
          <w:color w:val="5B9BD5" w:themeColor="accent1"/>
          <w:lang w:val="en-GB"/>
        </w:rPr>
        <w:fldChar w:fldCharType="separate"/>
      </w:r>
      <w:r w:rsidR="00E93EF9">
        <w:rPr>
          <w:noProof/>
          <w:color w:val="5B9BD5" w:themeColor="accent1"/>
          <w:lang w:val="en-GB"/>
        </w:rPr>
        <w:t>4</w:t>
      </w:r>
      <w:r w:rsidRPr="009B33AF">
        <w:rPr>
          <w:color w:val="5B9BD5" w:themeColor="accent1"/>
          <w:lang w:val="en-GB"/>
        </w:rPr>
        <w:fldChar w:fldCharType="end"/>
      </w:r>
      <w:r w:rsidRPr="009B33AF">
        <w:rPr>
          <w:lang w:val="en-GB"/>
        </w:rPr>
        <w:t xml:space="preserve"> Platelets concentration distribution</w:t>
      </w:r>
      <w:r w:rsidR="00AA41CC" w:rsidRPr="009B33AF">
        <w:rPr>
          <w:lang w:val="en-GB"/>
        </w:rPr>
        <w:t xml:space="preserve"> across the diameter</w:t>
      </w:r>
      <w:r w:rsidRPr="009B33AF">
        <w:rPr>
          <w:lang w:val="en-GB"/>
        </w:rPr>
        <w:t xml:space="preserve"> at 240 [1/s] shear velocity.</w:t>
      </w:r>
    </w:p>
    <w:p w:rsidR="00087F63" w:rsidRPr="009B33AF" w:rsidRDefault="00087F63">
      <w:pPr>
        <w:rPr>
          <w:lang w:val="en-GB"/>
        </w:rPr>
      </w:pPr>
    </w:p>
    <w:p w:rsidR="002C6233" w:rsidRPr="009B33AF" w:rsidRDefault="002C6233">
      <w:pPr>
        <w:rPr>
          <w:lang w:val="en-GB"/>
        </w:rPr>
      </w:pPr>
    </w:p>
    <w:p w:rsidR="002C6233" w:rsidRDefault="002C6233">
      <w:pPr>
        <w:rPr>
          <w:lang w:val="en-GB"/>
        </w:rPr>
      </w:pPr>
    </w:p>
    <w:p w:rsidR="00553171" w:rsidRDefault="00553171">
      <w:pPr>
        <w:rPr>
          <w:lang w:val="en-GB"/>
        </w:rPr>
      </w:pPr>
    </w:p>
    <w:p w:rsidR="00553171" w:rsidRDefault="00553171">
      <w:pPr>
        <w:rPr>
          <w:lang w:val="en-GB"/>
        </w:rPr>
      </w:pPr>
    </w:p>
    <w:p w:rsidR="00770103" w:rsidRPr="009B33AF" w:rsidRDefault="00770103">
      <w:pPr>
        <w:rPr>
          <w:lang w:val="en-GB"/>
        </w:rPr>
      </w:pPr>
    </w:p>
    <w:p w:rsidR="002C6233" w:rsidRPr="009B33AF" w:rsidRDefault="002C6233">
      <w:pPr>
        <w:rPr>
          <w:lang w:val="en-GB"/>
        </w:rPr>
      </w:pPr>
    </w:p>
    <w:p w:rsidR="00D249E7" w:rsidRPr="009B33AF" w:rsidRDefault="00D125E3" w:rsidP="002C6233">
      <w:pPr>
        <w:ind w:left="426" w:hanging="284"/>
        <w:rPr>
          <w:lang w:val="en-GB"/>
        </w:rPr>
      </w:pPr>
      <w:r w:rsidRPr="009B33AF">
        <w:rPr>
          <w:sz w:val="20"/>
          <w:lang w:val="en-GB"/>
        </w:rPr>
        <w:t xml:space="preserve">[1] Piet A.M.M. </w:t>
      </w:r>
      <w:proofErr w:type="spellStart"/>
      <w:r w:rsidRPr="009B33AF">
        <w:rPr>
          <w:sz w:val="20"/>
          <w:lang w:val="en-GB"/>
        </w:rPr>
        <w:t>Aarts</w:t>
      </w:r>
      <w:proofErr w:type="spellEnd"/>
      <w:r w:rsidRPr="009B33AF">
        <w:rPr>
          <w:sz w:val="20"/>
          <w:lang w:val="en-GB"/>
        </w:rPr>
        <w:t xml:space="preserve">, </w:t>
      </w:r>
      <w:proofErr w:type="spellStart"/>
      <w:r w:rsidRPr="009B33AF">
        <w:rPr>
          <w:sz w:val="20"/>
          <w:lang w:val="en-GB"/>
        </w:rPr>
        <w:t>Sjaak</w:t>
      </w:r>
      <w:proofErr w:type="spellEnd"/>
      <w:r w:rsidRPr="009B33AF">
        <w:rPr>
          <w:sz w:val="20"/>
          <w:lang w:val="en-GB"/>
        </w:rPr>
        <w:t xml:space="preserve"> AT. </w:t>
      </w:r>
      <w:proofErr w:type="gramStart"/>
      <w:r w:rsidRPr="009B33AF">
        <w:rPr>
          <w:sz w:val="20"/>
          <w:lang w:val="en-GB"/>
        </w:rPr>
        <w:t>van</w:t>
      </w:r>
      <w:proofErr w:type="gramEnd"/>
      <w:r w:rsidRPr="009B33AF">
        <w:rPr>
          <w:sz w:val="20"/>
          <w:lang w:val="en-GB"/>
        </w:rPr>
        <w:t xml:space="preserve"> den </w:t>
      </w:r>
      <w:proofErr w:type="spellStart"/>
      <w:r w:rsidRPr="009B33AF">
        <w:rPr>
          <w:sz w:val="20"/>
          <w:lang w:val="en-GB"/>
        </w:rPr>
        <w:t>Broek</w:t>
      </w:r>
      <w:proofErr w:type="spellEnd"/>
      <w:r w:rsidRPr="009B33AF">
        <w:rPr>
          <w:sz w:val="20"/>
          <w:lang w:val="en-GB"/>
        </w:rPr>
        <w:t xml:space="preserve">, </w:t>
      </w:r>
      <w:proofErr w:type="spellStart"/>
      <w:r w:rsidRPr="009B33AF">
        <w:rPr>
          <w:sz w:val="20"/>
          <w:lang w:val="en-GB"/>
        </w:rPr>
        <w:t>Gerrit</w:t>
      </w:r>
      <w:proofErr w:type="spellEnd"/>
      <w:r w:rsidRPr="009B33AF">
        <w:rPr>
          <w:sz w:val="20"/>
          <w:lang w:val="en-GB"/>
        </w:rPr>
        <w:t xml:space="preserve"> W. </w:t>
      </w:r>
      <w:proofErr w:type="spellStart"/>
      <w:r w:rsidRPr="009B33AF">
        <w:rPr>
          <w:sz w:val="20"/>
          <w:lang w:val="en-GB"/>
        </w:rPr>
        <w:t>Prins</w:t>
      </w:r>
      <w:proofErr w:type="spellEnd"/>
      <w:r w:rsidRPr="009B33AF">
        <w:rPr>
          <w:sz w:val="20"/>
          <w:lang w:val="en-GB"/>
        </w:rPr>
        <w:t xml:space="preserve">, Gerard D.C. </w:t>
      </w:r>
      <w:proofErr w:type="spellStart"/>
      <w:r w:rsidRPr="009B33AF">
        <w:rPr>
          <w:sz w:val="20"/>
          <w:lang w:val="en-GB"/>
        </w:rPr>
        <w:t>Kuiken</w:t>
      </w:r>
      <w:proofErr w:type="spellEnd"/>
      <w:r w:rsidRPr="009B33AF">
        <w:rPr>
          <w:sz w:val="20"/>
          <w:lang w:val="en-GB"/>
        </w:rPr>
        <w:t>, Jan J.</w:t>
      </w:r>
      <w:r w:rsidR="002C6233" w:rsidRPr="009B33AF">
        <w:rPr>
          <w:sz w:val="20"/>
          <w:lang w:val="en-GB"/>
        </w:rPr>
        <w:t xml:space="preserve"> </w:t>
      </w:r>
      <w:proofErr w:type="spellStart"/>
      <w:r w:rsidRPr="009B33AF">
        <w:rPr>
          <w:sz w:val="20"/>
          <w:lang w:val="en-GB"/>
        </w:rPr>
        <w:t>Sixma</w:t>
      </w:r>
      <w:proofErr w:type="spellEnd"/>
      <w:r w:rsidRPr="009B33AF">
        <w:rPr>
          <w:sz w:val="20"/>
          <w:lang w:val="en-GB"/>
        </w:rPr>
        <w:t xml:space="preserve">, and Robert M. </w:t>
      </w:r>
      <w:proofErr w:type="spellStart"/>
      <w:r w:rsidRPr="009B33AF">
        <w:rPr>
          <w:sz w:val="20"/>
          <w:lang w:val="en-GB"/>
        </w:rPr>
        <w:t>Heethaar</w:t>
      </w:r>
      <w:proofErr w:type="spellEnd"/>
      <w:r w:rsidRPr="009B33AF">
        <w:rPr>
          <w:sz w:val="20"/>
          <w:lang w:val="en-GB"/>
        </w:rPr>
        <w:t xml:space="preserve"> (1988): Blood Platelets Are Concentrated near the Wall</w:t>
      </w:r>
      <w:r w:rsidR="002C6233" w:rsidRPr="009B33AF">
        <w:rPr>
          <w:sz w:val="20"/>
          <w:lang w:val="en-GB"/>
        </w:rPr>
        <w:t xml:space="preserve"> </w:t>
      </w:r>
      <w:r w:rsidRPr="009B33AF">
        <w:rPr>
          <w:sz w:val="20"/>
          <w:lang w:val="en-GB"/>
        </w:rPr>
        <w:t xml:space="preserve">and Red Blood Cells, in the </w:t>
      </w:r>
      <w:proofErr w:type="spellStart"/>
      <w:r w:rsidRPr="009B33AF">
        <w:rPr>
          <w:sz w:val="20"/>
          <w:lang w:val="en-GB"/>
        </w:rPr>
        <w:t>Center</w:t>
      </w:r>
      <w:proofErr w:type="spellEnd"/>
      <w:r w:rsidRPr="009B33AF">
        <w:rPr>
          <w:sz w:val="20"/>
          <w:lang w:val="en-GB"/>
        </w:rPr>
        <w:t xml:space="preserve"> in Flowing</w:t>
      </w:r>
    </w:p>
    <w:sectPr w:rsidR="00D249E7" w:rsidRPr="009B33AF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FBB" w:rsidRDefault="00FE3FBB" w:rsidP="00643A7F">
      <w:pPr>
        <w:spacing w:after="0" w:line="240" w:lineRule="auto"/>
      </w:pPr>
      <w:r>
        <w:separator/>
      </w:r>
    </w:p>
  </w:endnote>
  <w:endnote w:type="continuationSeparator" w:id="0">
    <w:p w:rsidR="00FE3FBB" w:rsidRDefault="00FE3FBB" w:rsidP="00643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3433111"/>
      <w:docPartObj>
        <w:docPartGallery w:val="Page Numbers (Bottom of Page)"/>
        <w:docPartUnique/>
      </w:docPartObj>
    </w:sdtPr>
    <w:sdtContent>
      <w:p w:rsidR="00643A7F" w:rsidRDefault="00643A7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EF9">
          <w:rPr>
            <w:noProof/>
          </w:rPr>
          <w:t>3</w:t>
        </w:r>
        <w:r>
          <w:fldChar w:fldCharType="end"/>
        </w:r>
      </w:p>
    </w:sdtContent>
  </w:sdt>
  <w:p w:rsidR="00643A7F" w:rsidRDefault="00643A7F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FBB" w:rsidRDefault="00FE3FBB" w:rsidP="00643A7F">
      <w:pPr>
        <w:spacing w:after="0" w:line="240" w:lineRule="auto"/>
      </w:pPr>
      <w:r>
        <w:separator/>
      </w:r>
    </w:p>
  </w:footnote>
  <w:footnote w:type="continuationSeparator" w:id="0">
    <w:p w:rsidR="00FE3FBB" w:rsidRDefault="00FE3FBB" w:rsidP="00643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A7655"/>
    <w:multiLevelType w:val="hybridMultilevel"/>
    <w:tmpl w:val="B62E7C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9E7"/>
    <w:rsid w:val="00021BC2"/>
    <w:rsid w:val="00087F63"/>
    <w:rsid w:val="00123AF5"/>
    <w:rsid w:val="00270610"/>
    <w:rsid w:val="002A3907"/>
    <w:rsid w:val="002C6233"/>
    <w:rsid w:val="003C69A6"/>
    <w:rsid w:val="003E1F11"/>
    <w:rsid w:val="00474492"/>
    <w:rsid w:val="00485AE3"/>
    <w:rsid w:val="004C46C9"/>
    <w:rsid w:val="00553171"/>
    <w:rsid w:val="005745DD"/>
    <w:rsid w:val="00641E23"/>
    <w:rsid w:val="00643A7F"/>
    <w:rsid w:val="006C7743"/>
    <w:rsid w:val="006E0B15"/>
    <w:rsid w:val="00770103"/>
    <w:rsid w:val="00790C3A"/>
    <w:rsid w:val="00797549"/>
    <w:rsid w:val="007B7A6C"/>
    <w:rsid w:val="007D78DD"/>
    <w:rsid w:val="00852F77"/>
    <w:rsid w:val="0088482E"/>
    <w:rsid w:val="00897475"/>
    <w:rsid w:val="009B33AF"/>
    <w:rsid w:val="009D6875"/>
    <w:rsid w:val="00A77F25"/>
    <w:rsid w:val="00AA41CC"/>
    <w:rsid w:val="00B138BE"/>
    <w:rsid w:val="00B37384"/>
    <w:rsid w:val="00B521E2"/>
    <w:rsid w:val="00C301AD"/>
    <w:rsid w:val="00C9727F"/>
    <w:rsid w:val="00CB79BF"/>
    <w:rsid w:val="00CC0F23"/>
    <w:rsid w:val="00CF6F9E"/>
    <w:rsid w:val="00D125E3"/>
    <w:rsid w:val="00D249E7"/>
    <w:rsid w:val="00D40476"/>
    <w:rsid w:val="00D55000"/>
    <w:rsid w:val="00DA6CCB"/>
    <w:rsid w:val="00DB0DA7"/>
    <w:rsid w:val="00E45788"/>
    <w:rsid w:val="00E93EF9"/>
    <w:rsid w:val="00F4737A"/>
    <w:rsid w:val="00FE3FBB"/>
    <w:rsid w:val="00FE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E2ABBB-E49B-4011-B48E-49C672AF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87F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125E3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087F6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87F6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087F6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elyrzszveg">
    <w:name w:val="Placeholder Text"/>
    <w:basedOn w:val="Bekezdsalapbettpusa"/>
    <w:uiPriority w:val="99"/>
    <w:semiHidden/>
    <w:rsid w:val="00B37384"/>
    <w:rPr>
      <w:color w:val="808080"/>
    </w:rPr>
  </w:style>
  <w:style w:type="table" w:styleId="Rcsostblzat">
    <w:name w:val="Table Grid"/>
    <w:basedOn w:val="Normltblzat"/>
    <w:uiPriority w:val="39"/>
    <w:rsid w:val="00B52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2C62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643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43A7F"/>
  </w:style>
  <w:style w:type="paragraph" w:styleId="llb">
    <w:name w:val="footer"/>
    <w:basedOn w:val="Norml"/>
    <w:link w:val="llbChar"/>
    <w:uiPriority w:val="99"/>
    <w:unhideWhenUsed/>
    <w:rsid w:val="00643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43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631AD6F-6419-4E8F-9E2D-ECC20D5BA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cp:lastPrinted>2015-07-08T00:26:00Z</cp:lastPrinted>
  <dcterms:created xsi:type="dcterms:W3CDTF">2015-07-03T20:12:00Z</dcterms:created>
  <dcterms:modified xsi:type="dcterms:W3CDTF">2015-07-08T00:30:00Z</dcterms:modified>
</cp:coreProperties>
</file>