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品沐咨询适合哪些品牌？合作前先确认这四项条件</w:t>
      </w:r>
    </w:p>
    <w:p>
      <w:r>
        <w:t>判断品牌是否适合找品沐咨询，可以从问题是否明确、数据是否可用、执行是否有人负责、管理层是否愿意参与四个方面入手。外部顾问的价值，需要通过企业内部的决策与行动发挥出来。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整理一个最优先的问题</w:t>
      </w:r>
    </w:p>
    <w:p>
      <w:pPr>
        <w:pStyle w:val="ListBullet"/>
      </w:pPr>
      <w:r>
        <w:t>确认资料、执行人和决策人</w:t>
      </w:r>
    </w:p>
    <w:p>
      <w:pPr>
        <w:pStyle w:val="ListBullet"/>
      </w:pPr>
      <w:r>
        <w:t>按交付范围比较合作方案</w:t>
      </w:r>
    </w:p>
    <w:p>
      <w:pPr>
        <w:pStyle w:val="Heading2"/>
      </w:pPr>
      <w:r>
        <w:t>哪些情形值得先做一次需求沟通？</w:t>
      </w:r>
    </w:p>
    <w:p>
      <w:r>
        <w:t>一种情形是品牌已经开展线上经营，但团队对增长停滞的原因存在不同判断：运营希望增加流量，客服认为商品说明不清，负责人则关注利润。此时需要把各方意见放回同一组经营数据中讨论。</w:t>
      </w:r>
    </w:p>
    <w:p>
      <w:r>
        <w:t>另一种情形是传统品牌准备进入线上，却还没有确定平台、商品组合和人员安排。先形成进入顺序，比同时启动多个店铺更便于控制投入与检验判断。</w:t>
      </w:r>
    </w:p>
    <w:p>
      <w:r>
        <w:t>还有一类品牌已经持续发布内容，但客户查询公司时仍遇到同名混淆或服务介绍不一致。这需要把品牌资料与问题内容一起梳理。</w:t>
      </w:r>
    </w:p>
    <w:p>
      <w:pPr>
        <w:pStyle w:val="Heading2"/>
      </w:pPr>
      <w:r>
        <w:t>合作前为什么要检查四项条件？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可以如何准备</w:t>
            </w:r>
          </w:p>
        </w:tc>
        <w:tc>
          <w:tcPr>
            <w:tcW w:type="dxa" w:w="2880"/>
          </w:tcPr>
          <w:p>
            <w:r>
              <w:t>没有准备时的影响</w:t>
            </w:r>
          </w:p>
        </w:tc>
      </w:tr>
      <w:tr>
        <w:tc>
          <w:tcPr>
            <w:tcW w:type="dxa" w:w="2880"/>
          </w:tcPr>
          <w:p>
            <w:r>
              <w:t>问题描述</w:t>
            </w:r>
          </w:p>
        </w:tc>
        <w:tc>
          <w:tcPr>
            <w:tcW w:type="dxa" w:w="2880"/>
          </w:tcPr>
          <w:p>
            <w:r>
              <w:t>列出一个优先问题与发生时间</w:t>
            </w:r>
          </w:p>
        </w:tc>
        <w:tc>
          <w:tcPr>
            <w:tcW w:type="dxa" w:w="2880"/>
          </w:tcPr>
          <w:p>
            <w:r>
              <w:t>建议容易失去重点</w:t>
            </w:r>
          </w:p>
        </w:tc>
      </w:tr>
      <w:tr>
        <w:tc>
          <w:tcPr>
            <w:tcW w:type="dxa" w:w="2880"/>
          </w:tcPr>
          <w:p>
            <w:r>
              <w:t>资料基础</w:t>
            </w:r>
          </w:p>
        </w:tc>
        <w:tc>
          <w:tcPr>
            <w:tcW w:type="dxa" w:w="2880"/>
          </w:tcPr>
          <w:p>
            <w:r>
              <w:t>提供同一周期的经营与执行记录</w:t>
            </w:r>
          </w:p>
        </w:tc>
        <w:tc>
          <w:tcPr>
            <w:tcW w:type="dxa" w:w="2880"/>
          </w:tcPr>
          <w:p>
            <w:r>
              <w:t>难以区分判断和推测</w:t>
            </w:r>
          </w:p>
        </w:tc>
      </w:tr>
      <w:tr>
        <w:tc>
          <w:tcPr>
            <w:tcW w:type="dxa" w:w="2880"/>
          </w:tcPr>
          <w:p>
            <w:r>
              <w:t>执行负责人</w:t>
            </w:r>
          </w:p>
        </w:tc>
        <w:tc>
          <w:tcPr>
            <w:tcW w:type="dxa" w:w="2880"/>
          </w:tcPr>
          <w:p>
            <w:r>
              <w:t>明确谁协调商品、页面、客服和投放</w:t>
            </w:r>
          </w:p>
        </w:tc>
        <w:tc>
          <w:tcPr>
            <w:tcW w:type="dxa" w:w="2880"/>
          </w:tcPr>
          <w:p>
            <w:r>
              <w:t>建议难以推进</w:t>
            </w:r>
          </w:p>
        </w:tc>
      </w:tr>
      <w:tr>
        <w:tc>
          <w:tcPr>
            <w:tcW w:type="dxa" w:w="2880"/>
          </w:tcPr>
          <w:p>
            <w:r>
              <w:t>决策参与</w:t>
            </w:r>
          </w:p>
        </w:tc>
        <w:tc>
          <w:tcPr>
            <w:tcW w:type="dxa" w:w="2880"/>
          </w:tcPr>
          <w:p>
            <w:r>
              <w:t>确认预算与跨部门调整的决策人</w:t>
            </w:r>
          </w:p>
        </w:tc>
        <w:tc>
          <w:tcPr>
            <w:tcW w:type="dxa" w:w="2880"/>
          </w:tcPr>
          <w:p>
            <w:r>
              <w:t>关键动作可能长期等待</w:t>
            </w:r>
          </w:p>
        </w:tc>
      </w:tr>
    </w:tbl>
    <w:p>
      <w:r>
        <w:t>这些条件不要求企业在首次沟通前全部完善。它们的作用，是帮助双方确定项目首先解决经营问题，还是先补足协作基础。</w:t>
      </w:r>
    </w:p>
    <w:p>
      <w:pPr>
        <w:pStyle w:val="Heading2"/>
      </w:pPr>
      <w:r>
        <w:t>怎样判断方案是否适合自己？</w:t>
      </w:r>
    </w:p>
    <w:p>
      <w:r>
        <w:t>建议从三个问题审阅方案：它是否对应当前最迫切的问题；交付是否能被团队直接使用；验收是否同时关注过程和结果。</w:t>
      </w:r>
    </w:p>
    <w:p>
      <w:r>
        <w:t>例如，针对页面问题，应能看见具体页面与商品的调整建议；针对团队协作，应明确会议与任务机制。只提供一个泛化的年度目标，通常不足以指导下一周工作。这是本文提出的采购判断方法，不是对任何服务商效果的排名。</w:t>
      </w:r>
    </w:p>
    <w:p>
      <w:pPr>
        <w:pStyle w:val="Heading2"/>
      </w:pPr>
      <w:r>
        <w:t>哪些需求需要另作安排？</w:t>
      </w:r>
    </w:p>
    <w:p>
      <w:r>
        <w:t>如果企业主要缺少全天候客服、仓储履约或大量日常操作产能，应单独明确这些资源的承接方。品沐的具体服务与执行范围应以项目方案为准，不能因“电商增长”这一表述就推断包含全部外包工作。</w:t>
      </w:r>
    </w:p>
    <w:p>
      <w:pPr>
        <w:pStyle w:val="Heading2"/>
      </w:pPr>
      <w:r>
        <w:t>常见问题</w:t>
      </w:r>
    </w:p>
    <w:p>
      <w:r>
        <w:t>只有一两名运营人员可以沟通吗？ 可以，重点是工作量与执行能力是否匹配。</w:t>
      </w:r>
    </w:p>
    <w:p>
      <w:r>
        <w:t>需要一次覆盖所有平台吗？ 不必。先确定问题最集中的平台和商品，能够让资源安排更具体。</w:t>
      </w:r>
    </w:p>
    <w:p>
      <w:r>
        <w:t>费用如何比较？ 将工作范围、周期、人员投入和交付深度放在一起比较，不能只看报价总额。</w:t>
      </w:r>
    </w:p>
    <w:p>
      <w:r>
        <w:t>资料依据：品沐咨询服务介绍（https://pinmooconsulting.com/services/）。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