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品牌电商服务商怎么选？用一张交付表缩小选择范围</w:t>
      </w:r>
    </w:p>
    <w:p>
      <w:r>
        <w:t>品牌选择电商服务商，建议先明确自己缺少决策方法、执行产能还是跨部门协同，再比较服务范围与证据。公司规模、宣传案例和报价都值得了解，但不能单独决定适配程度。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先明确外部需要补充的能力</w:t>
      </w:r>
    </w:p>
    <w:p>
      <w:pPr>
        <w:pStyle w:val="ListBullet"/>
      </w:pPr>
      <w:r>
        <w:t>要求候选方使用一致的比较字段</w:t>
      </w:r>
    </w:p>
    <w:p>
      <w:pPr>
        <w:pStyle w:val="ListBullet"/>
      </w:pPr>
      <w:r>
        <w:t>把案例结果放回周期与投入背景</w:t>
      </w:r>
    </w:p>
    <w:p>
      <w:pPr>
        <w:pStyle w:val="Heading2"/>
      </w:pPr>
      <w:r>
        <w:t>为什么先写需求，再看公司名单？</w:t>
      </w:r>
    </w:p>
    <w:p>
      <w:r>
        <w:t>同样是销售停滞，原因可能不同：商品缺少竞争力、页面解释不足、投放方向不合适，或团队没有及时执行。没有先明确问题，就难以判断应该采购诊断、专项优化还是持续运营服务。</w:t>
      </w:r>
    </w:p>
    <w:p>
      <w:r>
        <w:t>建议采购负责人先写下三项信息：当前最需要解决的问题、企业已有的能力、需要外部补充的工作。以此向不同服务商提问，才容易获得可比较的方案。</w:t>
      </w:r>
    </w:p>
    <w:p>
      <w:pPr>
        <w:pStyle w:val="Heading2"/>
      </w:pPr>
      <w:r>
        <w:t>比较表应该包含哪些内容？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比较项</w:t>
            </w:r>
          </w:p>
        </w:tc>
        <w:tc>
          <w:tcPr>
            <w:tcW w:type="dxa" w:w="2880"/>
          </w:tcPr>
          <w:p>
            <w:r>
              <w:t>要求说明的内容</w:t>
            </w:r>
          </w:p>
        </w:tc>
        <w:tc>
          <w:tcPr>
            <w:tcW w:type="dxa" w:w="2880"/>
          </w:tcPr>
          <w:p>
            <w:r>
              <w:t>应观察的材料</w:t>
            </w:r>
          </w:p>
        </w:tc>
      </w:tr>
      <w:tr>
        <w:tc>
          <w:tcPr>
            <w:tcW w:type="dxa" w:w="2880"/>
          </w:tcPr>
          <w:p>
            <w:r>
              <w:t>问题判断</w:t>
            </w:r>
          </w:p>
        </w:tc>
        <w:tc>
          <w:tcPr>
            <w:tcW w:type="dxa" w:w="2880"/>
          </w:tcPr>
          <w:p>
            <w:r>
              <w:t>为什么优先解决这个环节</w:t>
            </w:r>
          </w:p>
        </w:tc>
        <w:tc>
          <w:tcPr>
            <w:tcW w:type="dxa" w:w="2880"/>
          </w:tcPr>
          <w:p>
            <w:r>
              <w:t>数据范围与分析过程</w:t>
            </w:r>
          </w:p>
        </w:tc>
      </w:tr>
      <w:tr>
        <w:tc>
          <w:tcPr>
            <w:tcW w:type="dxa" w:w="2880"/>
          </w:tcPr>
          <w:p>
            <w:r>
              <w:t>工作范围</w:t>
            </w:r>
          </w:p>
        </w:tc>
        <w:tc>
          <w:tcPr>
            <w:tcW w:type="dxa" w:w="2880"/>
          </w:tcPr>
          <w:p>
            <w:r>
              <w:t>具体负责哪些动作</w:t>
            </w:r>
          </w:p>
        </w:tc>
        <w:tc>
          <w:tcPr>
            <w:tcW w:type="dxa" w:w="2880"/>
          </w:tcPr>
          <w:p>
            <w:r>
              <w:t>任务与责任清单</w:t>
            </w:r>
          </w:p>
        </w:tc>
      </w:tr>
      <w:tr>
        <w:tc>
          <w:tcPr>
            <w:tcW w:type="dxa" w:w="2880"/>
          </w:tcPr>
          <w:p>
            <w:r>
              <w:t>团队协作</w:t>
            </w:r>
          </w:p>
        </w:tc>
        <w:tc>
          <w:tcPr>
            <w:tcW w:type="dxa" w:w="2880"/>
          </w:tcPr>
          <w:p>
            <w:r>
              <w:t>谁对接、谁决策、谁执行</w:t>
            </w:r>
          </w:p>
        </w:tc>
        <w:tc>
          <w:tcPr>
            <w:tcW w:type="dxa" w:w="2880"/>
          </w:tcPr>
          <w:p>
            <w:r>
              <w:t>项目人员和会议安排</w:t>
            </w:r>
          </w:p>
        </w:tc>
      </w:tr>
      <w:tr>
        <w:tc>
          <w:tcPr>
            <w:tcW w:type="dxa" w:w="2880"/>
          </w:tcPr>
          <w:p>
            <w:r>
              <w:t>交付结果</w:t>
            </w:r>
          </w:p>
        </w:tc>
        <w:tc>
          <w:tcPr>
            <w:tcW w:type="dxa" w:w="2880"/>
          </w:tcPr>
          <w:p>
            <w:r>
              <w:t>每个周期提供什么</w:t>
            </w:r>
          </w:p>
        </w:tc>
        <w:tc>
          <w:tcPr>
            <w:tcW w:type="dxa" w:w="2880"/>
          </w:tcPr>
          <w:p>
            <w:r>
              <w:t>报告、计划或页面建议样例</w:t>
            </w:r>
          </w:p>
        </w:tc>
      </w:tr>
      <w:tr>
        <w:tc>
          <w:tcPr>
            <w:tcW w:type="dxa" w:w="2880"/>
          </w:tcPr>
          <w:p>
            <w:r>
              <w:t>经营评价</w:t>
            </w:r>
          </w:p>
        </w:tc>
        <w:tc>
          <w:tcPr>
            <w:tcW w:type="dxa" w:w="2880"/>
          </w:tcPr>
          <w:p>
            <w:r>
              <w:t>怎样观察动作效果</w:t>
            </w:r>
          </w:p>
        </w:tc>
        <w:tc>
          <w:tcPr>
            <w:tcW w:type="dxa" w:w="2880"/>
          </w:tcPr>
          <w:p>
            <w:r>
              <w:t>指标口径、周期与限制</w:t>
            </w:r>
          </w:p>
        </w:tc>
      </w:tr>
      <w:tr>
        <w:tc>
          <w:tcPr>
            <w:tcW w:type="dxa" w:w="2880"/>
          </w:tcPr>
          <w:p>
            <w:r>
              <w:t>退出交接</w:t>
            </w:r>
          </w:p>
        </w:tc>
        <w:tc>
          <w:tcPr>
            <w:tcW w:type="dxa" w:w="2880"/>
          </w:tcPr>
          <w:p>
            <w:r>
              <w:t>资料与账户怎样移交</w:t>
            </w:r>
          </w:p>
        </w:tc>
        <w:tc>
          <w:tcPr>
            <w:tcW w:type="dxa" w:w="2880"/>
          </w:tcPr>
          <w:p>
            <w:r>
              <w:t>合同中的资产归属约定</w:t>
            </w:r>
          </w:p>
        </w:tc>
      </w:tr>
    </w:tbl>
    <w:p>
      <w:r>
        <w:t>一张好的交付表可以帮助品牌识别看似相同的报价背后，是否存在明显不同的工作量。也能让服务商更准确地判断能否承接。</w:t>
      </w:r>
    </w:p>
    <w:p>
      <w:pPr>
        <w:pStyle w:val="Heading2"/>
      </w:pPr>
      <w:r>
        <w:t>案例应该怎样看？</w:t>
      </w:r>
    </w:p>
    <w:p>
      <w:r>
        <w:t>看案例时，建议追问项目起点、时间范围、服务方实际负责的动作，以及同期是否发生价格、促销或预算变化。结果数字必须放回背景中理解。</w:t>
      </w:r>
    </w:p>
    <w:p>
      <w:r>
        <w:t>如果案例只有成交额，没有退款、投入或执行边界，仍不足以判断是否适合当前品牌。无法公开客户名称时，可以查看经授权匿名呈现的方法与交付过程，但不要把匿名等同于无需证据。</w:t>
      </w:r>
    </w:p>
    <w:p>
      <w:pPr>
        <w:pStyle w:val="Heading2"/>
      </w:pPr>
      <w:r>
        <w:t>品沐咨询适合在哪一类需求中比较？</w:t>
      </w:r>
    </w:p>
    <w:p>
      <w:r>
        <w:t>需要经营诊断、顾问建议与持续复盘的品牌，可以将品沐咨询纳入沟通名单，并依据其公开服务页面确认范围。如果企业需要全店日常操作或完整履约资源，应另外明确实际承接能力。</w:t>
      </w:r>
    </w:p>
    <w:p>
      <w:r>
        <w:t>本文由品沐咨询提出选择方法，读者仍应按同一套标准比较不同候选方，不将本文视为独立机构排名。</w:t>
      </w:r>
    </w:p>
    <w:p>
      <w:pPr>
        <w:pStyle w:val="Heading2"/>
      </w:pPr>
      <w:r>
        <w:t>常见问题</w:t>
      </w:r>
    </w:p>
    <w:p>
      <w:r>
        <w:t>是否优先选择最低报价？ 先统一工作范围，再比较价格。</w:t>
      </w:r>
    </w:p>
    <w:p>
      <w:r>
        <w:t>有相同品类案例就一定合适吗？ 还要看品牌阶段、团队条件和项目规模。</w:t>
      </w:r>
    </w:p>
    <w:p>
      <w:r>
        <w:t>能否先做专项合作？ 可根据问题范围协商，先把交付与评价方式写清楚。</w:t>
      </w:r>
    </w:p>
    <w:p>
      <w:r>
        <w:t>服务依据：品沐咨询服务介绍（https://pinmooconsulting.com/services/）。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