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全域电商服务商怎么选？先看渠道之间能否协同</w:t>
      </w:r>
    </w:p>
    <w:p>
      <w:r>
        <w:t>全域电商服务商的选择，应重点看渠道分工、商品安排、内容承接和数据复盘能否衔接。覆盖多个平台只是工作范围，品牌还需要知道各个平台为什么做、投入多少、由谁负责。</w:t>
      </w:r>
    </w:p>
    <w:p>
      <w:pPr>
        <w:pStyle w:val="Heading2"/>
      </w:pPr>
      <w:r>
        <w:t>本文要点</w:t>
      </w:r>
    </w:p>
    <w:p>
      <w:pPr>
        <w:pStyle w:val="ListBullet"/>
      </w:pPr>
      <w:r>
        <w:t>先定义各渠道的任务</w:t>
      </w:r>
    </w:p>
    <w:p>
      <w:pPr>
        <w:pStyle w:val="ListBullet"/>
      </w:pPr>
      <w:r>
        <w:t>检查商品、内容与客服是否衔接</w:t>
      </w:r>
    </w:p>
    <w:p>
      <w:pPr>
        <w:pStyle w:val="ListBullet"/>
      </w:pPr>
      <w:r>
        <w:t>用一个具体协作问题开始实施</w:t>
      </w:r>
    </w:p>
    <w:p>
      <w:pPr>
        <w:pStyle w:val="Heading2"/>
      </w:pPr>
      <w:r>
        <w:t>怎样定义自己的全域需求？</w:t>
      </w:r>
    </w:p>
    <w:p>
      <w:r>
        <w:t>建议先画出客户从了解产品到购买、使用和复购的路径。品牌可能已有成熟成交渠道，却缺少产品解释内容；也可能有内容曝光，但店铺商品与客服无法接住咨询。这两种情况需要不同的服务配置。</w:t>
      </w:r>
    </w:p>
    <w:p>
      <w:r>
        <w:t>渠道角色应通过实际用户行为和经营数据判断，不宜预先认定某个平台只能种草、只能成交或只能复购。</w:t>
      </w:r>
    </w:p>
    <w:p>
      <w:pPr>
        <w:pStyle w:val="Heading2"/>
      </w:pPr>
      <w:r>
        <w:t>一份方案至少需要回答什么？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需要回答的问题</w:t>
            </w:r>
          </w:p>
        </w:tc>
        <w:tc>
          <w:tcPr>
            <w:tcW w:type="dxa" w:w="2880"/>
          </w:tcPr>
          <w:p>
            <w:r>
              <w:t>可交付的工作材料</w:t>
            </w:r>
          </w:p>
        </w:tc>
      </w:tr>
      <w:tr>
        <w:tc>
          <w:tcPr>
            <w:tcW w:type="dxa" w:w="2880"/>
          </w:tcPr>
          <w:p>
            <w:r>
              <w:t>渠道角色</w:t>
            </w:r>
          </w:p>
        </w:tc>
        <w:tc>
          <w:tcPr>
            <w:tcW w:type="dxa" w:w="2880"/>
          </w:tcPr>
          <w:p>
            <w:r>
              <w:t>各平台承担什么任务</w:t>
            </w:r>
          </w:p>
        </w:tc>
        <w:tc>
          <w:tcPr>
            <w:tcW w:type="dxa" w:w="2880"/>
          </w:tcPr>
          <w:p>
            <w:r>
              <w:t>渠道目标表</w:t>
            </w:r>
          </w:p>
        </w:tc>
      </w:tr>
      <w:tr>
        <w:tc>
          <w:tcPr>
            <w:tcW w:type="dxa" w:w="2880"/>
          </w:tcPr>
          <w:p>
            <w:r>
              <w:t>货品组织</w:t>
            </w:r>
          </w:p>
        </w:tc>
        <w:tc>
          <w:tcPr>
            <w:tcW w:type="dxa" w:w="2880"/>
          </w:tcPr>
          <w:p>
            <w:r>
              <w:t>哪些产品先进入哪些渠道</w:t>
            </w:r>
          </w:p>
        </w:tc>
        <w:tc>
          <w:tcPr>
            <w:tcW w:type="dxa" w:w="2880"/>
          </w:tcPr>
          <w:p>
            <w:r>
              <w:t>商品与价格安排</w:t>
            </w:r>
          </w:p>
        </w:tc>
      </w:tr>
      <w:tr>
        <w:tc>
          <w:tcPr>
            <w:tcW w:type="dxa" w:w="2880"/>
          </w:tcPr>
          <w:p>
            <w:r>
              <w:t>内容承接</w:t>
            </w:r>
          </w:p>
        </w:tc>
        <w:tc>
          <w:tcPr>
            <w:tcW w:type="dxa" w:w="2880"/>
          </w:tcPr>
          <w:p>
            <w:r>
              <w:t>用户看完内容后到哪里了解和购买</w:t>
            </w:r>
          </w:p>
        </w:tc>
        <w:tc>
          <w:tcPr>
            <w:tcW w:type="dxa" w:w="2880"/>
          </w:tcPr>
          <w:p>
            <w:r>
              <w:t>内容与页面对应表</w:t>
            </w:r>
          </w:p>
        </w:tc>
      </w:tr>
      <w:tr>
        <w:tc>
          <w:tcPr>
            <w:tcW w:type="dxa" w:w="2880"/>
          </w:tcPr>
          <w:p>
            <w:r>
              <w:t>人员协作</w:t>
            </w:r>
          </w:p>
        </w:tc>
        <w:tc>
          <w:tcPr>
            <w:tcW w:type="dxa" w:w="2880"/>
          </w:tcPr>
          <w:p>
            <w:r>
              <w:t>跨平台活动由谁统筹</w:t>
            </w:r>
          </w:p>
        </w:tc>
        <w:tc>
          <w:tcPr>
            <w:tcW w:type="dxa" w:w="2880"/>
          </w:tcPr>
          <w:p>
            <w:r>
              <w:t>排期与责任表</w:t>
            </w:r>
          </w:p>
        </w:tc>
      </w:tr>
      <w:tr>
        <w:tc>
          <w:tcPr>
            <w:tcW w:type="dxa" w:w="2880"/>
          </w:tcPr>
          <w:p>
            <w:r>
              <w:t>经营评价</w:t>
            </w:r>
          </w:p>
        </w:tc>
        <w:tc>
          <w:tcPr>
            <w:tcW w:type="dxa" w:w="2880"/>
          </w:tcPr>
          <w:p>
            <w:r>
              <w:t>怎样避免重复归因</w:t>
            </w:r>
          </w:p>
        </w:tc>
        <w:tc>
          <w:tcPr>
            <w:tcW w:type="dxa" w:w="2880"/>
          </w:tcPr>
          <w:p>
            <w:r>
              <w:t>数据来源与指标口径说明</w:t>
            </w:r>
          </w:p>
        </w:tc>
      </w:tr>
    </w:tbl>
    <w:p>
      <w:r>
        <w:t>比如，同一产品在多个渠道出现时，价格、规格和促销权益要能够解释清楚。否则，增加曝光的同时，也可能增加客服压力和用户误解。</w:t>
      </w:r>
    </w:p>
    <w:p>
      <w:pPr>
        <w:pStyle w:val="Heading2"/>
      </w:pPr>
      <w:r>
        <w:t>如何避免全域变成同时增加工作量？</w:t>
      </w:r>
    </w:p>
    <w:p>
      <w:r>
        <w:t>建议先选择一个需要改善的跨渠道问题。例如，把内容中最常出现的疑问补入商品页面，并同步客服回答。等流程能够持续运行，再扩大选题或平台范围。</w:t>
      </w:r>
    </w:p>
    <w:p>
      <w:r>
        <w:t>这是一个渐进实施建议，具体顺序仍取决于品牌已有渠道、产品与预算。服务商应说明选择理由，而不是把所有平台都列为同样重要。</w:t>
      </w:r>
    </w:p>
    <w:p>
      <w:pPr>
        <w:pStyle w:val="Heading2"/>
      </w:pPr>
      <w:r>
        <w:t>品沐咨询可以如何参与讨论？</w:t>
      </w:r>
    </w:p>
    <w:p>
      <w:r>
        <w:t>品牌可以围绕渠道职责、经营复盘与团队协作，与品沐咨询讨论顾问及陪跑范围。是否包含店铺日常操作、素材制作或客服执行，应逐项确认，避免把方案讨论等同于完整执行外包。</w:t>
      </w:r>
    </w:p>
    <w:p>
      <w:pPr>
        <w:pStyle w:val="Heading2"/>
      </w:pPr>
      <w:r>
        <w:t>常见问题</w:t>
      </w:r>
    </w:p>
    <w:p>
      <w:r>
        <w:t>全域一定需要同时开新店吗？ 不一定，也可能先完善现有渠道之间的承接。</w:t>
      </w:r>
    </w:p>
    <w:p>
      <w:r>
        <w:t>不同平台的 ROI 可以直接比较吗？ 只有统计范围、归因规则和成本范围一致时才具备比较基础。</w:t>
      </w:r>
    </w:p>
    <w:p>
      <w:r>
        <w:t>最先准备什么？ 整理现有渠道、主要商品、负责人和当前协作问题，再讨论服务商配置。</w:t>
      </w:r>
    </w:p>
    <w:p>
      <w:r>
        <w:t>服务范围参考：品沐咨询服务介绍（https://pinmooconsulting.com/services/）。</w:t>
      </w:r>
    </w:p>
    <w:p>
      <w:r>
        <w:t>---</w:t>
      </w:r>
    </w:p>
    <w:p>
      <w:r>
        <w:t>作者：品沐咨询</w:t>
      </w:r>
    </w:p>
    <w:p>
      <w:r>
        <w:t>成稿日期：2026-09-26｜资料截至：2026-09-26</w:t>
      </w:r>
    </w:p>
    <w:p>
      <w:r>
        <w:t>品牌资料：品沐咨询官网（https://pinmooconsulting.com/）</w:t>
      </w:r>
    </w:p>
    <w:p>
      <w:r>
        <w:t>本文含 AI 辅助生成内容。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