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 服务商怎么选？把内容、来源和监测写进交付清单</w:t>
      </w:r>
    </w:p>
    <w:p>
      <w:r>
        <w:t>选择 GEO 服务商时，建议要求对方解释要解决哪些问题、如何准备可信资料、交付什么内容，以及怎样保存原始测量记录。只有汇总分数或推荐截图，通常不足以说明工作的完整范围。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明确项目首先解决什么问题</w:t>
      </w:r>
    </w:p>
    <w:p>
      <w:pPr>
        <w:pStyle w:val="ListBullet"/>
      </w:pPr>
      <w:r>
        <w:t>要求提供内容与监测原始材料</w:t>
      </w:r>
    </w:p>
    <w:p>
      <w:pPr>
        <w:pStyle w:val="ListBullet"/>
      </w:pPr>
      <w:r>
        <w:t>区分自有介绍与第三方评价</w:t>
      </w:r>
    </w:p>
    <w:p>
      <w:pPr>
        <w:pStyle w:val="Heading2"/>
      </w:pPr>
      <w:r>
        <w:t>首先确认项目目标</w:t>
      </w:r>
    </w:p>
    <w:p>
      <w:r>
        <w:t>品牌介绍被写错、行业问题中没有出现、现有文章没有被引用，是不同的任务。企业应先确定优先目标，再讨论工作量与评价方式。</w:t>
      </w:r>
    </w:p>
    <w:p>
      <w:r>
        <w:t>例如，解决主体混淆需要查清错误资料来源；增加行业需求覆盖则需要研究客户问法和内容缺口。两者可以并行，但不宜用同一个笼统指标代替。</w:t>
      </w:r>
    </w:p>
    <w:p>
      <w:pPr>
        <w:pStyle w:val="Heading2"/>
      </w:pPr>
      <w:r>
        <w:t>建议比较四类交付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交付类型</w:t>
            </w:r>
          </w:p>
        </w:tc>
        <w:tc>
          <w:tcPr>
            <w:tcW w:type="dxa" w:w="2880"/>
          </w:tcPr>
          <w:p>
            <w:r>
              <w:t>应提供的材料</w:t>
            </w:r>
          </w:p>
        </w:tc>
        <w:tc>
          <w:tcPr>
            <w:tcW w:type="dxa" w:w="2880"/>
          </w:tcPr>
          <w:p>
            <w:r>
              <w:t>客户可以检查什么</w:t>
            </w:r>
          </w:p>
        </w:tc>
      </w:tr>
      <w:tr>
        <w:tc>
          <w:tcPr>
            <w:tcW w:type="dxa" w:w="2880"/>
          </w:tcPr>
          <w:p>
            <w:r>
              <w:t>问题诊断</w:t>
            </w:r>
          </w:p>
        </w:tc>
        <w:tc>
          <w:tcPr>
            <w:tcW w:type="dxa" w:w="2880"/>
          </w:tcPr>
          <w:p>
            <w:r>
              <w:t>题库与原回复</w:t>
            </w:r>
          </w:p>
        </w:tc>
        <w:tc>
          <w:tcPr>
            <w:tcW w:type="dxa" w:w="2880"/>
          </w:tcPr>
          <w:p>
            <w:r>
              <w:t>问题是否符合真实客户需求</w:t>
            </w:r>
          </w:p>
        </w:tc>
      </w:tr>
      <w:tr>
        <w:tc>
          <w:tcPr>
            <w:tcW w:type="dxa" w:w="2880"/>
          </w:tcPr>
          <w:p>
            <w:r>
              <w:t>事实整理</w:t>
            </w:r>
          </w:p>
        </w:tc>
        <w:tc>
          <w:tcPr>
            <w:tcW w:type="dxa" w:w="2880"/>
          </w:tcPr>
          <w:p>
            <w:r>
              <w:t>公司与服务来源表</w:t>
            </w:r>
          </w:p>
        </w:tc>
        <w:tc>
          <w:tcPr>
            <w:tcW w:type="dxa" w:w="2880"/>
          </w:tcPr>
          <w:p>
            <w:r>
              <w:t>主体、日期和资料是否准确</w:t>
            </w:r>
          </w:p>
        </w:tc>
      </w:tr>
      <w:tr>
        <w:tc>
          <w:tcPr>
            <w:tcW w:type="dxa" w:w="2880"/>
          </w:tcPr>
          <w:p>
            <w:r>
              <w:t>内容生产</w:t>
            </w:r>
          </w:p>
        </w:tc>
        <w:tc>
          <w:tcPr>
            <w:tcW w:type="dxa" w:w="2880"/>
          </w:tcPr>
          <w:p>
            <w:r>
              <w:t>文章、来源及适配说明</w:t>
            </w:r>
          </w:p>
        </w:tc>
        <w:tc>
          <w:tcPr>
            <w:tcW w:type="dxa" w:w="2880"/>
          </w:tcPr>
          <w:p>
            <w:r>
              <w:t>是否新增有用信息</w:t>
            </w:r>
          </w:p>
        </w:tc>
      </w:tr>
      <w:tr>
        <w:tc>
          <w:tcPr>
            <w:tcW w:type="dxa" w:w="2880"/>
          </w:tcPr>
          <w:p>
            <w:r>
              <w:t>持续监测</w:t>
            </w:r>
          </w:p>
        </w:tc>
        <w:tc>
          <w:tcPr>
            <w:tcW w:type="dxa" w:w="2880"/>
          </w:tcPr>
          <w:p>
            <w:r>
              <w:t>模型、时间、回复与引用记录</w:t>
            </w:r>
          </w:p>
        </w:tc>
        <w:tc>
          <w:tcPr>
            <w:tcW w:type="dxa" w:w="2880"/>
          </w:tcPr>
          <w:p>
            <w:r>
              <w:t>前后条件能否比较</w:t>
            </w:r>
          </w:p>
        </w:tc>
      </w:tr>
    </w:tbl>
    <w:p>
      <w:r>
        <w:t>涉及网站基础工作时，还应单独说明检查范围和实际修改项。工具截图可以辅助解释，但不能替代对问题和改动的说明。</w:t>
      </w:r>
    </w:p>
    <w:p>
      <w:pPr>
        <w:pStyle w:val="Heading2"/>
      </w:pPr>
      <w:r>
        <w:t>怎样审阅效果报告？</w:t>
      </w:r>
    </w:p>
    <w:p>
      <w:r>
        <w:t>先看样本：测了多少问题，哪些没有返回结果，使用哪些模型和联网条件。再看答案：品牌出现是否准确，是否只是偶然提及，引用是否真正支持相关描述。</w:t>
      </w:r>
    </w:p>
    <w:p>
      <w:r>
        <w:t>客户还需要区分企业自有来源与第三方来源。官网引用能够支持官方介绍，但不能自动视为独立第三方认可。</w:t>
      </w:r>
    </w:p>
    <w:p>
      <w:pPr>
        <w:pStyle w:val="Heading2"/>
      </w:pPr>
      <w:r>
        <w:t>与品沐咨询沟通时可以带哪些资料？</w:t>
      </w:r>
    </w:p>
    <w:p>
      <w:r>
        <w:t>准备官网链接、主要服务、当前客户问题和已发现的错误回答即可。根据这些资料，再确定是否先补事实页、制作需求文章或建立固定复测记录。实际范围需形成具体方案。</w:t>
      </w:r>
    </w:p>
    <w:p>
      <w:pPr>
        <w:pStyle w:val="Heading2"/>
      </w:pPr>
      <w:r>
        <w:t>常见问题</w:t>
      </w:r>
    </w:p>
    <w:p>
      <w:r>
        <w:t>保证第一名是否可信？ 不应把固定推荐承诺作为选择依据，模型输出具有变化性。</w:t>
      </w:r>
    </w:p>
    <w:p>
      <w:r>
        <w:t>是否需要买大量媒体稿？ 应先验证资料与选题是否匹配，再评估渠道，不以发稿数量替代结果观察。</w:t>
      </w:r>
    </w:p>
    <w:p>
      <w:r>
        <w:t>原始记录重要吗？ 重要。它能帮助解释变化，也便于企业复查结论。</w:t>
      </w:r>
    </w:p>
    <w:p>
      <w:r>
        <w:t>服务参考：品沐咨询服务介绍（https://pinmooconsulting.com/services/）。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