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电商投入越来越高，利润却下降：品牌应该先查什么？</w:t>
      </w:r>
    </w:p>
    <w:p>
      <w:r>
        <w:t>电商投入增加但利润下降时，建议先统一销售、退款和推广成本的统计口径，再拆解商品与推广计划。只看支付金额增长或整体 ROI，可能遗漏成交质量和费用结构的变化。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先写清指标来源与统计周期</w:t>
      </w:r>
    </w:p>
    <w:p>
      <w:pPr>
        <w:pStyle w:val="ListBullet"/>
      </w:pPr>
      <w:r>
        <w:t>把退款追溯到商品和订单背景</w:t>
      </w:r>
    </w:p>
    <w:p>
      <w:pPr>
        <w:pStyle w:val="ListBullet"/>
      </w:pPr>
      <w:r>
        <w:t>按推广计划形成具体调整任务</w:t>
      </w:r>
    </w:p>
    <w:p>
      <w:pPr>
        <w:pStyle w:val="Heading2"/>
      </w:pPr>
      <w:r>
        <w:t>为什么要先核对口径？</w:t>
      </w:r>
    </w:p>
    <w:p>
      <w:r>
        <w:t>支付金额、首页净支付金额、店铺绩效净销售额可能来自不同报表，采用不同时间与归属规则。它们不能因为名称相近就直接替换。推广计划花费也需要确认是否包含全部渠道与统计范围。</w:t>
      </w:r>
    </w:p>
    <w:p>
      <w:r>
        <w:t>如果用当期支付减当期退款得到一个观察值，应注明这只是特定口径下的差额，不直接称为财务利润。退款可能来自历史订单，还需要结合成本、佣金、履约及其他费用判断盈利。</w:t>
      </w:r>
    </w:p>
    <w:p>
      <w:pPr>
        <w:pStyle w:val="Heading2"/>
      </w:pPr>
      <w:r>
        <w:t>按什么顺序拆解问题？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检查顺序</w:t>
            </w:r>
          </w:p>
        </w:tc>
        <w:tc>
          <w:tcPr>
            <w:tcW w:type="dxa" w:w="2880"/>
          </w:tcPr>
          <w:p>
            <w:r>
              <w:t>重点问题</w:t>
            </w:r>
          </w:p>
        </w:tc>
        <w:tc>
          <w:tcPr>
            <w:tcW w:type="dxa" w:w="2880"/>
          </w:tcPr>
          <w:p>
            <w:r>
              <w:t>可能需要的动作</w:t>
            </w:r>
          </w:p>
        </w:tc>
      </w:tr>
      <w:tr>
        <w:tc>
          <w:tcPr>
            <w:tcW w:type="dxa" w:w="2880"/>
          </w:tcPr>
          <w:p>
            <w:r>
              <w:t>商品</w:t>
            </w:r>
          </w:p>
        </w:tc>
        <w:tc>
          <w:tcPr>
            <w:tcW w:type="dxa" w:w="2880"/>
          </w:tcPr>
          <w:p>
            <w:r>
              <w:t>哪些商品贡献成交，哪些退款压力较高</w:t>
            </w:r>
          </w:p>
        </w:tc>
        <w:tc>
          <w:tcPr>
            <w:tcW w:type="dxa" w:w="2880"/>
          </w:tcPr>
          <w:p>
            <w:r>
              <w:t>检查承诺、规格和售后原因</w:t>
            </w:r>
          </w:p>
        </w:tc>
      </w:tr>
      <w:tr>
        <w:tc>
          <w:tcPr>
            <w:tcW w:type="dxa" w:w="2880"/>
          </w:tcPr>
          <w:p>
            <w:r>
              <w:t>推广计划</w:t>
            </w:r>
          </w:p>
        </w:tc>
        <w:tc>
          <w:tcPr>
            <w:tcW w:type="dxa" w:w="2880"/>
          </w:tcPr>
          <w:p>
            <w:r>
              <w:t>花费增加集中在哪些计划</w:t>
            </w:r>
          </w:p>
        </w:tc>
        <w:tc>
          <w:tcPr>
            <w:tcW w:type="dxa" w:w="2880"/>
          </w:tcPr>
          <w:p>
            <w:r>
              <w:t>拆看人群、素材与承接页面</w:t>
            </w:r>
          </w:p>
        </w:tc>
      </w:tr>
      <w:tr>
        <w:tc>
          <w:tcPr>
            <w:tcW w:type="dxa" w:w="2880"/>
          </w:tcPr>
          <w:p>
            <w:r>
              <w:t>转化链路</w:t>
            </w:r>
          </w:p>
        </w:tc>
        <w:tc>
          <w:tcPr>
            <w:tcW w:type="dxa" w:w="2880"/>
          </w:tcPr>
          <w:p>
            <w:r>
              <w:t>用户在哪个环节犹豫或误解</w:t>
            </w:r>
          </w:p>
        </w:tc>
        <w:tc>
          <w:tcPr>
            <w:tcW w:type="dxa" w:w="2880"/>
          </w:tcPr>
          <w:p>
            <w:r>
              <w:t>调整页面与客服解释</w:t>
            </w:r>
          </w:p>
        </w:tc>
      </w:tr>
      <w:tr>
        <w:tc>
          <w:tcPr>
            <w:tcW w:type="dxa" w:w="2880"/>
          </w:tcPr>
          <w:p>
            <w:r>
              <w:t>费用结构</w:t>
            </w:r>
          </w:p>
        </w:tc>
        <w:tc>
          <w:tcPr>
            <w:tcW w:type="dxa" w:w="2880"/>
          </w:tcPr>
          <w:p>
            <w:r>
              <w:t>折扣、佣金和履约成本是否变化</w:t>
            </w:r>
          </w:p>
        </w:tc>
        <w:tc>
          <w:tcPr>
            <w:tcW w:type="dxa" w:w="2880"/>
          </w:tcPr>
          <w:p>
            <w:r>
              <w:t>重新评估活动和渠道安排</w:t>
            </w:r>
          </w:p>
        </w:tc>
      </w:tr>
    </w:tbl>
    <w:p>
      <w:r>
        <w:t>如果某商品当期退款金额超过当期成交，应先追溯订单周期，不能直接认定全部是当期销售造成的损失。商品退款率也要注明分母与统计时间，避免不同报表之间误比。</w:t>
      </w:r>
    </w:p>
    <w:p>
      <w:pPr>
        <w:pStyle w:val="Heading2"/>
      </w:pPr>
      <w:r>
        <w:t>为什么不能用整体 ROI 决定全部计划加预算？</w:t>
      </w:r>
    </w:p>
    <w:p>
      <w:r>
        <w:t>整体结果可能由少量表现较好的计划拉动。预算调整前，应把计划花费与商品、页面、人群和退款情况放在一起看。对于数据量较少的计划，先记录不确定性，再决定继续观察还是调整。</w:t>
      </w:r>
    </w:p>
    <w:p>
      <w:r>
        <w:t>建议每次复盘形成可执行清单：哪件商品改什么、哪个页面补什么说明、哪个计划调整什么、谁负责回看。具体增减预算仍需结合实际数据判断。</w:t>
      </w:r>
    </w:p>
    <w:p>
      <w:pPr>
        <w:pStyle w:val="Heading2"/>
      </w:pPr>
      <w:r>
        <w:t>品沐咨询如何进入这类问题？</w:t>
      </w:r>
    </w:p>
    <w:p>
      <w:r>
        <w:t>品牌可以准备同周期的经营、商品、推广和退款资料，与品沐咨询讨论诊断范围。本文提供的是检查顺序，不是对任何店铺的盈利结论。</w:t>
      </w:r>
    </w:p>
    <w:p>
      <w:pPr>
        <w:pStyle w:val="Heading2"/>
      </w:pPr>
      <w:r>
        <w:t>常见问题</w:t>
      </w:r>
    </w:p>
    <w:p>
      <w:r>
        <w:t>销售增长能说明经营变好吗？ 还需要同时观察退款、费用与净销售质量。</w:t>
      </w:r>
    </w:p>
    <w:p>
      <w:r>
        <w:t>退款高就立即停投吗？ 应先判断原因、订单周期和商品贡献。</w:t>
      </w:r>
    </w:p>
    <w:p>
      <w:r>
        <w:t>第一次复盘先做什么？ 把关键指标的来源、时间和计算方法写在同一页。</w:t>
      </w:r>
    </w:p>
    <w:p>
      <w:r>
        <w:t>相关服务：品沐咨询服务介绍（https://pinmooconsulting.com/services/）。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