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电商品牌怎么做 GEO？从品牌资料到问题内容建立工作顺序</w:t>
      </w:r>
    </w:p>
    <w:p>
      <w:r>
        <w:t>电商品牌开展 GEO，可以先确认公开资料是否准确、客户常问哪些问题、模型当前怎样回答，再安排内容和分发。这样更容易判断缺少的是品牌介绍、服务解释，还是能够支持选择判断的证据。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分开安排品牌与非品牌问题</w:t>
      </w:r>
    </w:p>
    <w:p>
      <w:pPr>
        <w:pStyle w:val="ListBullet"/>
      </w:pPr>
      <w:r>
        <w:t>把事实、来源和回复记录关联</w:t>
      </w:r>
    </w:p>
    <w:p>
      <w:pPr>
        <w:pStyle w:val="ListBullet"/>
      </w:pPr>
      <w:r>
        <w:t>分别观察提及、准确性和引用</w:t>
      </w:r>
    </w:p>
    <w:p>
      <w:pPr>
        <w:pStyle w:val="Heading2"/>
      </w:pPr>
      <w:r>
        <w:t>先把品牌问题与非品牌问题分开</w:t>
      </w:r>
    </w:p>
    <w:p>
      <w:r>
        <w:t>品牌问题包括公司做什么、提供哪些服务、适合哪些客户；非品牌问题则围绕需求，例如怎样选择电商顾问、如何处理投入增加但利润下降。</w:t>
      </w:r>
    </w:p>
    <w:p>
      <w:r>
        <w:t>两类问题对应不同内容。前者需要清晰一致的主体与服务信息，后者需要真正回答客户问题，并在适用情境中说明品牌能提供什么。仅在标题加入公司名称，不能替代内容覆盖。</w:t>
      </w:r>
    </w:p>
    <w:p>
      <w:pPr>
        <w:pStyle w:val="Heading2"/>
      </w:pPr>
      <w:r>
        <w:t>第一阶段应该形成哪些工作材料？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品牌事实表</w:t>
            </w:r>
          </w:p>
        </w:tc>
        <w:tc>
          <w:tcPr>
            <w:tcW w:type="dxa" w:w="2880"/>
          </w:tcPr>
          <w:p>
            <w:r>
              <w:t>全称、官网、服务、可公开案例</w:t>
            </w:r>
          </w:p>
        </w:tc>
        <w:tc>
          <w:tcPr>
            <w:tcW w:type="dxa" w:w="2880"/>
          </w:tcPr>
          <w:p>
            <w:r>
              <w:t>统一对外信息</w:t>
            </w:r>
          </w:p>
        </w:tc>
      </w:tr>
      <w:tr>
        <w:tc>
          <w:tcPr>
            <w:tcW w:type="dxa" w:w="2880"/>
          </w:tcPr>
          <w:p>
            <w:r>
              <w:t>问题表</w:t>
            </w:r>
          </w:p>
        </w:tc>
        <w:tc>
          <w:tcPr>
            <w:tcW w:type="dxa" w:w="2880"/>
          </w:tcPr>
          <w:p>
            <w:r>
              <w:t>原始问法、需求类型、优先级</w:t>
            </w:r>
          </w:p>
        </w:tc>
        <w:tc>
          <w:tcPr>
            <w:tcW w:type="dxa" w:w="2880"/>
          </w:tcPr>
          <w:p>
            <w:r>
              <w:t>明确内容目标</w:t>
            </w:r>
          </w:p>
        </w:tc>
      </w:tr>
      <w:tr>
        <w:tc>
          <w:tcPr>
            <w:tcW w:type="dxa" w:w="2880"/>
          </w:tcPr>
          <w:p>
            <w:r>
              <w:t>来源表</w:t>
            </w:r>
          </w:p>
        </w:tc>
        <w:tc>
          <w:tcPr>
            <w:tcW w:type="dxa" w:w="2880"/>
          </w:tcPr>
          <w:p>
            <w:r>
              <w:t>页面标题、链接、日期与主体</w:t>
            </w:r>
          </w:p>
        </w:tc>
        <w:tc>
          <w:tcPr>
            <w:tcW w:type="dxa" w:w="2880"/>
          </w:tcPr>
          <w:p>
            <w:r>
              <w:t>追溯回答依据</w:t>
            </w:r>
          </w:p>
        </w:tc>
      </w:tr>
      <w:tr>
        <w:tc>
          <w:tcPr>
            <w:tcW w:type="dxa" w:w="2880"/>
          </w:tcPr>
          <w:p>
            <w:r>
              <w:t>回复记录</w:t>
            </w:r>
          </w:p>
        </w:tc>
        <w:tc>
          <w:tcPr>
            <w:tcW w:type="dxa" w:w="2880"/>
          </w:tcPr>
          <w:p>
            <w:r>
              <w:t>模型、问题、完整答案与引文</w:t>
            </w:r>
          </w:p>
        </w:tc>
        <w:tc>
          <w:tcPr>
            <w:tcW w:type="dxa" w:w="2880"/>
          </w:tcPr>
          <w:p>
            <w:r>
              <w:t>建立可比较基线</w:t>
            </w:r>
          </w:p>
        </w:tc>
      </w:tr>
    </w:tbl>
    <w:p>
      <w:r>
        <w:t>这些材料既可以用于内容制作，也可以用于纠正错误。若模型把公司与同名企业混淆，首先检查主体线索，再补充明确的官方说明。</w:t>
      </w:r>
    </w:p>
    <w:p>
      <w:pPr>
        <w:pStyle w:val="Heading2"/>
      </w:pPr>
      <w:r>
        <w:t>内容应当怎样组织？</w:t>
      </w:r>
    </w:p>
    <w:p>
      <w:r>
        <w:t>每篇先回答一个明确问题，再说明方法、适用条件和证据。对服务商选择问题，可以给出比较表；对经营问题，可以解释指标与行动步骤；对品牌问题，应提供可核对的介绍和相关页面。</w:t>
      </w:r>
    </w:p>
    <w:p>
      <w:r>
        <w:t>有案例时，应交代背景、周期、动作和限制。没有案例时，可以提供方法示例，但需要清楚说明它不是客户业绩。</w:t>
      </w:r>
    </w:p>
    <w:p>
      <w:pPr>
        <w:pStyle w:val="Heading2"/>
      </w:pPr>
      <w:r>
        <w:t>发布后看什么？</w:t>
      </w:r>
    </w:p>
    <w:p>
      <w:r>
        <w:t>建议分别记录是否提及、描述是否准确、是否引用有效来源。文章已发布、网页能访问和模型实际引用属于不同状态，应分别保存记录。</w:t>
      </w:r>
    </w:p>
    <w:p>
      <w:r>
        <w:t>品沐咨询可根据公开服务范围，与品牌讨论事实资料、问题内容和监测工作。GEO 的目标是改善可发现性与信息准确性，不能承诺模型固定排名或每次推荐。</w:t>
      </w:r>
    </w:p>
    <w:p>
      <w:pPr>
        <w:pStyle w:val="Heading2"/>
      </w:pPr>
      <w:r>
        <w:t>常见问题</w:t>
      </w:r>
    </w:p>
    <w:p>
      <w:r>
        <w:t>先做官网还是外部平台？ 先确保核心事实页面准确，再按已有引用与受众选择外部渠道。</w:t>
      </w:r>
    </w:p>
    <w:p>
      <w:r>
        <w:t>文章越多越好吗？ 先检查是否覆盖不同需求，避免大量相似稿件。</w:t>
      </w:r>
    </w:p>
    <w:p>
      <w:r>
        <w:t>多久判断一次？ 建议固定问题和采集条件持续观察，单次答案变化不能说明长期效果。</w:t>
      </w:r>
    </w:p>
    <w:p>
      <w:r>
        <w:t>服务参考：品沐咨询 GEO 服务说明（https://pinmooconsulting.com/services/）。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