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新品上架卖得慢，一定要先降价吗？</w:t>
      </w:r>
    </w:p>
    <w:p>
      <w:r>
        <w:t>品沐咨询  |  2026-10-02</w:t>
      </w:r>
    </w:p>
    <w:p>
      <w:r>
        <w:t>新品卖得慢时，可以先检查目标用户是否看懂用途与差异，再结合流量、价格和反馈判断。资料还不清楚时，降价未必能够解释原来的问题。</w:t>
      </w:r>
    </w:p>
    <w:p>
      <w:r>
        <w:t>产品部门熟悉新品的改进，消费者却可能只看到一个陌生名称。页面花了很多篇幅介绍研发，却没有回答它适合谁、与已有产品有什么区别。</w:t>
      </w:r>
    </w:p>
    <w:p>
      <w:pPr>
        <w:pStyle w:val="Heading2"/>
      </w:pPr>
      <w:r>
        <w:t>先找出消费者不理解的地方</w:t>
      </w:r>
    </w:p>
    <w:p>
      <w:r>
        <w:t>可以检查商品入口、页面和客服咨询，看看用户在哪一步停止。没有足够访问时，无法仅凭成交少判断页面；有访问却不断询问用途时，则值得进一步检查表达。</w:t>
      </w:r>
    </w:p>
    <w:p>
      <w:r>
        <w:t>新品的名称、图片和规格应支持消费者理解。内部使用的技术词，可以补充实际用途与选择条件。涉及性能或效果的说明，需要真实资料支持，不能因为新品缺少评价而增加未经验证的承诺。</w:t>
      </w:r>
    </w:p>
    <w:p>
      <w:r>
        <w:t>也可以让不熟悉产品的同事按照页面选择一次，记录他需要额外询问什么。这类观察只是发现理解问题的辅助，后续仍要回到真实用户反馈与经营资料。</w:t>
      </w:r>
    </w:p>
    <w:p>
      <w:pPr>
        <w:pStyle w:val="Heading2"/>
      </w:pPr>
      <w:r>
        <w:t>让新品在货盘里有清楚的位置</w:t>
      </w:r>
    </w:p>
    <w:p>
      <w:r>
        <w:t>品牌需要说明新品与旧品的关系：满足新的用途，升级某项条件，还是提供不同的规格组合。若用户看不到差别，就可能继续选择熟悉的产品。</w:t>
      </w:r>
    </w:p>
    <w:p>
      <w:r>
        <w:t>这种关系也应进入客服和内容表达。旧品适合的用户不必全部转向新品，团队需要帮助客户按实际需求判断。新品定位越清楚，推广入口和商品组合也越容易安排。</w:t>
      </w:r>
    </w:p>
    <w:p>
      <w:r>
        <w:t>价格仍然值得比较，但应连同规格、权益和目标人群一起看。降价可能带来订单，也可能吸引不同用户，不能直接证明原来的问题已经解决。</w:t>
      </w:r>
    </w:p>
    <w:p>
      <w:pPr>
        <w:pStyle w:val="Heading2"/>
      </w:pPr>
      <w:r>
        <w:t>每次调整尽量保留可解释性</w:t>
      </w:r>
    </w:p>
    <w:p>
      <w:r>
        <w:t>表达调整后可以记录版本、流量背景和咨询变化。若同时改变价格、权益、投放和页面，团队需要说明这些动作共同发生，避免将后续变化只归因于文案。</w:t>
      </w:r>
    </w:p>
    <w:p>
      <w:r>
        <w:t>需要继续测试的新品，可以先明确观察问题和投入边界。产品资料、供应能力和售后承接尚未准备好时，扩大曝光也可能放大尚未解决的困难。</w:t>
      </w:r>
    </w:p>
    <w:p>
      <w:r>
        <w:t>新品起步阶段值得耐心观察。先让合适的人看懂它，再讨论是否调整价格和渠道，品牌更容易积累对商品真实需求的理解。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