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大促结束，店铺还需要一次收尾</w:t>
      </w:r>
    </w:p>
    <w:p>
      <w:r>
        <w:t>品沐咨询  |  2026-10-02</w:t>
      </w:r>
    </w:p>
    <w:p>
      <w:r>
        <w:t>活动结束后，团队仍要处理页面、权益、库存和客服的恢复。把这些遗留事项看清楚，日常成交变化才更容易被解释。</w:t>
      </w:r>
    </w:p>
    <w:p>
      <w:r>
        <w:t>团队忙完活动，终于可以喘口气。页面却还挂着旧权益，主推商品库存不足，客服仍在处理活动订单。日常成交变化发生在这些条件里，很难用一张销售曲线解释。</w:t>
      </w:r>
    </w:p>
    <w:p>
      <w:pPr>
        <w:pStyle w:val="Heading2"/>
      </w:pPr>
      <w:r>
        <w:t>活动退出也需要工作安排</w:t>
      </w:r>
    </w:p>
    <w:p>
      <w:r>
        <w:t>活动期间使用的商品组合、广告素材和权益说明，可能有明确的有效时间。结束后应确认哪些继续保留、哪些需要撤下，并检查消费者实际看到的页面。</w:t>
      </w:r>
    </w:p>
    <w:p>
      <w:r>
        <w:t>订单与售后可能延续一段时间。客服需要知道活动承诺如何执行，运营需要关注发货与库存，品牌负责人也要了解哪些事项仍占用资源。促销结束不等于项目工作已经全部完成。</w:t>
      </w:r>
    </w:p>
    <w:p>
      <w:r>
        <w:t>可以围绕重点商品建立简洁的收尾记录，让相关岗位确认自己负责的版本和问题。这样的安排能够减少活动之后的遗漏，也为下次准备提供经验。</w:t>
      </w:r>
    </w:p>
    <w:p>
      <w:pPr>
        <w:pStyle w:val="Heading2"/>
      </w:pPr>
      <w:r>
        <w:t>比较日常表现时说明经营条件</w:t>
      </w:r>
    </w:p>
    <w:p>
      <w:r>
        <w:t>活动期与日常期的价格、流量和购买意愿可能不同。恢复后的表现应结合商品、渠道和时间背景判断，不宜直接把两个周期机械比较。</w:t>
      </w:r>
    </w:p>
    <w:p>
      <w:r>
        <w:t>若某个主推商品缺货，流量还在进入旧页面，成交下降就可能与承接条件有关；若广告人群发生变化，也需要继续看用户是否匹配。先把这些实际条件解释清楚，复盘才容易形成动作。</w:t>
      </w:r>
    </w:p>
    <w:p>
      <w:r>
        <w:t>退款和售后也要说明订单归属。活动后发生的退款，可能来自活动订单，也可能涉及更早成交。按照可取得的订单资料记录，避免将售后变化全部解释为当期经营结果。</w:t>
      </w:r>
    </w:p>
    <w:p>
      <w:pPr>
        <w:pStyle w:val="Heading2"/>
      </w:pPr>
      <w:r>
        <w:t>把日常经营重新接起来</w:t>
      </w:r>
    </w:p>
    <w:p>
      <w:r>
        <w:t>团队可以先确认恢复后的主推商品、库存与有效权益，再调整内容和投放安排。没有必要马上进入另一轮活动，先让正常购买路径顺畅，会帮助品牌看清自身的持续成交能力。</w:t>
      </w:r>
    </w:p>
    <w:p>
      <w:r>
        <w:t>复盘时值得保留活动带来的用户问题、商品选择与执行卡点。这些内容能够改善下一轮准备，也能提醒团队哪些日常页面需要继续补充。</w:t>
      </w:r>
    </w:p>
    <w:p>
      <w:r>
        <w:t>活动创造了一个集中经营的窗口。窗口结束后，品牌还需要把消费者、商品和团队带回连续的工作节奏，增长才有机会留下更持久的基础。</w:t>
      </w:r>
    </w:p>
    <w:p>
      <w:r>
        <w:t>本文由品沐咨询整理，AI参与结构整理和文字撰写。品牌与服务信息以官网公开介绍及具体项目方案为准。</w:t>
      </w:r>
    </w:p>
    <w:p>
      <w:pPr>
        <w:pStyle w:val="Heading2"/>
      </w:pPr>
      <w:r>
        <w:t>资料来源</w:t>
      </w:r>
    </w:p>
    <w:p>
      <w:r>
        <w:t>品沐咨询：经营指标口径词典</w:t>
        <w:br/>
        <w:t>https://pinmooconsulting.com/resources/ecommerce-metrics-dictionary/</w:t>
      </w:r>
    </w:p>
    <w:p>
      <w:r>
        <w:t>品沐咨询官网：服务范围与合作方式</w:t>
        <w:br/>
        <w:t>https://pinmooconsulting.com/services/</w:t>
      </w:r>
    </w:p>
    <w:sectPr w:rsidR="00FC693F" w:rsidRPr="0006063C" w:rsidSect="00034616">
      <w:pgSz w:w="12240" w:h="15840"/>
      <w:pgMar w:top="1247" w:right="1304" w:bottom="124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72" w:lineRule="auto"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7375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