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广告停了自然订单也少了，能直接判断因果吗？</w:t>
      </w:r>
    </w:p>
    <w:p>
      <w:r>
        <w:t>品沐咨询  |  2026-10-02</w:t>
      </w:r>
    </w:p>
    <w:p>
      <w:r>
        <w:t>广告暂停与自然订单下降同时发生，仍需检查同期活动、价格、库存与来源口径。先解释有哪些变化，再决定怎样恢复预算，复盘会更有依据。</w:t>
      </w:r>
    </w:p>
    <w:p>
      <w:r>
        <w:t>有些品牌停止投放后，发现搜索和直接访问订单也减少，于是决定立即恢复预算。恢复之前，先理解同期还有哪些条件变化，能让预算讨论更有依据。</w:t>
      </w:r>
    </w:p>
    <w:p>
      <w:pPr>
        <w:pStyle w:val="Heading2"/>
      </w:pPr>
      <w:r>
        <w:t>把变化放回同一段时间</w:t>
      </w:r>
    </w:p>
    <w:p>
      <w:r>
        <w:t>可以记录广告调整时间、主推商品、活动权益和库存状态。广告暂停可能恰好发生在促销结束、新品流量消退或畅销规格缺货之后，这些因素都可能影响成交。</w:t>
      </w:r>
    </w:p>
    <w:p>
      <w:r>
        <w:t>自然来源的定义也需核对。不同平台可能按不同入口或归因方式呈现订单，用户看过广告之后再搜索购买，是否被计入某类来源，需要以平台当前口径为准。资料中无法解释的部分应保留限制。</w:t>
      </w:r>
    </w:p>
    <w:p>
      <w:r>
        <w:t>先按同一时间范围整理来源、商品和成交变化，能够避免不同后台数字混在一起。没有明细时，可以先做描述性观察，不急于给出确定归因。</w:t>
      </w:r>
    </w:p>
    <w:p>
      <w:pPr>
        <w:pStyle w:val="Heading2"/>
      </w:pPr>
      <w:r>
        <w:t>看用户路径与商品有没有改变</w:t>
      </w:r>
    </w:p>
    <w:p>
      <w:r>
        <w:t>广告可能承担新品介绍或品牌触达，也可能主要承接已经有需求的人群。不同目标的计划暂停后，影响不一定相同，需要分别讨论。</w:t>
      </w:r>
    </w:p>
    <w:p>
      <w:r>
        <w:t>可以先查看哪些商品的订单变化更明显，页面和价格是否调整，咨询内容是否有变化。若品牌能够取得合规的来源或访问资料，再进一步观察用户路径；不能取得时，不应凭想象补出完整链路。</w:t>
      </w:r>
    </w:p>
    <w:p>
      <w:r>
        <w:t>品牌词、活动与老客订单也值得单独看。某个渠道的总体下降，可能由不同用户群共同形成，整体数据未必能说明哪个计划值得恢复。</w:t>
      </w:r>
    </w:p>
    <w:p>
      <w:pPr>
        <w:pStyle w:val="Heading2"/>
      </w:pPr>
      <w:r>
        <w:t>将恢复预算变成可观察的决定</w:t>
      </w:r>
    </w:p>
    <w:p>
      <w:r>
        <w:t>若需要重新投放，可以写清目标、计划范围和观察条件，并记录同期其他动作。样本不足时，保留判断空间。以受控投入验证问题，通常比单凭一次波动扩大全部预算更容易复盘。</w:t>
      </w:r>
    </w:p>
    <w:p>
      <w:r>
        <w:t>经营质量也应继续观察。恢复后的支付增加，还要结合退款、商品贡献和投入成本，避免将订单回升直接解释成利润改善。</w:t>
      </w:r>
    </w:p>
    <w:p>
      <w:r>
        <w:t>广告与自然成交之间可能存在联系，品牌需要用资料逐步理解这种联系。先解释同时发生了什么，再决定怎样投入，预算才能服务清楚的经营目标。</w:t>
      </w:r>
    </w:p>
    <w:p>
      <w:r>
        <w:t>本文由品沐咨询整理，AI参与结构整理和文字撰写。品牌与服务信息以官网公开介绍及具体项目方案为准。</w:t>
      </w:r>
    </w:p>
    <w:p>
      <w:pPr>
        <w:pStyle w:val="Heading2"/>
      </w:pPr>
      <w:r>
        <w:t>资料来源</w:t>
      </w:r>
    </w:p>
    <w:p>
      <w:r>
        <w:t>品沐咨询：经营指标口径词典</w:t>
        <w:br/>
        <w:t>https://pinmooconsulting.com/resources/ecommerce-metrics-dictionary/</w:t>
      </w:r>
    </w:p>
    <w:p>
      <w:r>
        <w:t>品沐咨询官网：服务范围与合作方式</w:t>
        <w:br/>
        <w:t>https://pinmooconsulting.com/services/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375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