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自用和送礼买同款，页面真的能只讲一种需求吗</w:t>
      </w:r>
    </w:p>
    <w:p>
      <w:r>
        <w:t>品沐咨询  |  2026-10-02</w:t>
      </w:r>
    </w:p>
    <w:p>
      <w:r>
        <w:t>同一款产品，自用与送礼客户可能关心不同条件。品牌可以守住准确的产品事实，再分别解释使用、包装与交付，让选择更清楚。</w:t>
      </w:r>
    </w:p>
    <w:p>
      <w:r>
        <w:t>自用客户想知道日常体验，送礼客户更在意呈现、到货与适合对象。一页文案如果只强调其中一类，另一类读者就需要继续咨询。</w:t>
      </w:r>
    </w:p>
    <w:p>
      <w:pPr>
        <w:pStyle w:val="Heading2"/>
      </w:pPr>
      <w:r>
        <w:t>先理解两类购买任务</w:t>
      </w:r>
    </w:p>
    <w:p>
      <w:r>
        <w:t>自用可能关注频率、规格、维护和成本，送礼可能关注包装、携带、礼赠对象和交付时间。具体重点要从品类与用户反馈判断，不能套用同一份礼赠话术。</w:t>
      </w:r>
    </w:p>
    <w:p>
      <w:r>
        <w:t>品牌可以整理两类咨询，确认哪些是共同问题，哪些需要单独解释。商品本身没有变化时，产品事实应保持一致；包装或组合不同，则需要说明购买内容与价格差异。</w:t>
      </w:r>
    </w:p>
    <w:p>
      <w:r>
        <w:t>涉及食品、个护或其他有适用条件的产品，更应明确必要信息。礼赠场景不能代替对使用者条件的判断，也不宜以笼统的“适合所有人”消除购买犹豫。</w:t>
      </w:r>
    </w:p>
    <w:p>
      <w:pPr>
        <w:pStyle w:val="Heading2"/>
      </w:pPr>
      <w:r>
        <w:t>让不同用途都能找到对应说明</w:t>
      </w:r>
    </w:p>
    <w:p>
      <w:r>
        <w:t>页面可以按用途设置清楚的阅读位置，帮助用户快速找到相关信息。自用部分解释产品选择，礼赠部分说明包装与交付，不必把所有段落重复写两遍。</w:t>
      </w:r>
    </w:p>
    <w:p>
      <w:r>
        <w:t>购买位置附近应说明实际包含的内容。礼盒图中展示了装饰或搭配物，哪些随商品提供，需要准确标明。客服也应使用同一版本，避免咨询时改变用户对套餐的理解。</w:t>
      </w:r>
    </w:p>
    <w:p>
      <w:r>
        <w:t>交付条件可能影响礼赠决定。库存、配送和定制是否可以承诺，需以品牌实际能力为准。不能为了促成订单，给出无法稳定兑现的到货保证。</w:t>
      </w:r>
    </w:p>
    <w:p>
      <w:pPr>
        <w:pStyle w:val="Heading2"/>
      </w:pPr>
      <w:r>
        <w:t>分别观察两类反馈</w:t>
      </w:r>
    </w:p>
    <w:p>
      <w:r>
        <w:t>复盘时可以关注用户选择、咨询和售后是否与用途有关。某个包装更受欢迎，可能来自特定活动或渠道，不能直接推广为全部消费者的偏好。</w:t>
      </w:r>
    </w:p>
    <w:p>
      <w:r>
        <w:t>如果两类需求差异明显，品牌可以进一步讨论商品组合和内容安排。是否增加独立页面或选项，应结合管理能力和真实需求，避免为了细分而制造更多难以维护的版本。</w:t>
      </w:r>
    </w:p>
    <w:p>
      <w:r>
        <w:t>清楚解释使用与礼赠，会让同一款产品更容易被理解。品牌需要守住产品事实，再按购买任务提供有用信息，让客户知道自己的需求是否能够被满足。</w:t>
      </w:r>
    </w:p>
    <w:p>
      <w:r>
        <w:t>本文由品沐咨询整理，AI参与结构整理和文字撰写。品牌与服务信息以官网公开介绍及具体项目方案为准。</w:t>
      </w:r>
    </w:p>
    <w:p>
      <w:pPr>
        <w:pStyle w:val="Heading2"/>
      </w:pPr>
      <w:r>
        <w:t>资料来源</w:t>
      </w:r>
    </w:p>
    <w:p>
      <w:r>
        <w:t>品沐咨询官网：服务范围与合作方式</w:t>
        <w:br/>
        <w:t>https://pinmooconsulting.com/services/</w:t>
      </w:r>
    </w:p>
    <w:sectPr w:rsidR="00FC693F" w:rsidRPr="0006063C" w:rsidSect="00034616">
      <w:pgSz w:w="12240" w:h="15840"/>
      <w:pgMar w:top="1247" w:right="1304" w:bottom="1247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72" w:lineRule="auto" w:after="160"/>
    </w:pPr>
    <w:rPr>
      <w:rFonts w:ascii="Microsoft YaHei" w:hAnsi="Microsoft YaHe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17375E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微软雅黑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