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E7A629"/>
          <w:sz w:val="20"/>
        </w:rPr>
        <w:t>产品介绍  |  2026版</w:t>
      </w:r>
    </w:p>
    <w:p>
      <w:pPr>
        <w:pStyle w:val="Title"/>
        <w:spacing w:before="480"/>
      </w:pPr>
      <w:r>
        <w:t>广州中考</w:t>
        <w:br/>
        <w:t>志愿模拟助手</w:t>
      </w:r>
    </w:p>
    <w:p>
      <w:pPr>
        <w:pStyle w:val="Subtitle"/>
      </w:pPr>
      <w:r>
        <w:t>把分数、梯度、志愿顺序与历史数据，</w:t>
        <w:br/>
        <w:t>放进同一套可解释的模拟流程。</w:t>
      </w:r>
    </w:p>
    <w:p>
      <w:pPr>
        <w:spacing w:before="440" w:after="320"/>
        <w:pBdr>
          <w:bottom w:val="single" w:sz="16" w:space="6" w:color="E7A629"/>
        </w:pBdr>
      </w:pPr>
      <w:r>
        <w:rPr>
          <w:b/>
          <w:color w:val="2E74B5"/>
          <w:sz w:val="32"/>
        </w:rPr>
        <w:t>输入分数，先模拟，再填报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AF3F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b/>
                <w:color w:val="123B66"/>
                <w:sz w:val="38"/>
              </w:rPr>
              <w:t>3种</w:t>
            </w:r>
          </w:p>
        </w:tc>
        <w:tc>
          <w:tcPr>
            <w:tcW w:type="dxa" w:w="3120"/>
            <w:shd w:fill="FFF6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b/>
                <w:color w:val="123B66"/>
                <w:sz w:val="38"/>
              </w:rPr>
              <w:t>15个</w:t>
            </w:r>
          </w:p>
        </w:tc>
        <w:tc>
          <w:tcPr>
            <w:tcW w:type="dxa" w:w="3120"/>
            <w:shd w:fill="EAF3F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b/>
                <w:color w:val="123B66"/>
                <w:sz w:val="38"/>
              </w:rPr>
              <w:t>10,000次</w:t>
            </w:r>
          </w:p>
        </w:tc>
      </w:tr>
      <w:tr>
        <w:tc>
          <w:tcPr>
            <w:tcW w:type="dxa" w:w="3120"/>
            <w:shd w:fill="EAF3F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color w:val="66788A"/>
                <w:sz w:val="19"/>
              </w:rPr>
              <w:t>使用模式</w:t>
            </w:r>
          </w:p>
        </w:tc>
        <w:tc>
          <w:tcPr>
            <w:tcW w:type="dxa" w:w="3120"/>
            <w:shd w:fill="FFF6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color w:val="66788A"/>
                <w:sz w:val="19"/>
              </w:rPr>
              <w:t>普通高中志愿槽</w:t>
            </w:r>
          </w:p>
        </w:tc>
        <w:tc>
          <w:tcPr>
            <w:tcW w:type="dxa" w:w="3120"/>
            <w:shd w:fill="EAF3F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rPr>
                <w:color w:val="66788A"/>
                <w:sz w:val="19"/>
              </w:rPr>
              <w:t>未来情景模拟</w:t>
            </w:r>
          </w:p>
        </w:tc>
      </w:tr>
    </w:tbl>
    <w:p>
      <w:pPr>
        <w:spacing w:after="400"/>
      </w:pPr>
    </w:p>
    <w:p>
      <w:pPr>
        <w:spacing w:before="700"/>
      </w:pPr>
      <w:r>
        <w:rPr>
          <w:b/>
          <w:color w:val="123B66"/>
          <w:sz w:val="22"/>
        </w:rPr>
        <w:t>由品沐咨询提供</w:t>
      </w:r>
    </w:p>
    <w:p>
      <w:r>
        <w:rPr>
          <w:color w:val="66788A"/>
          <w:sz w:val="19"/>
        </w:rPr>
        <w:t>版本日期：2026年7月26日</w:t>
      </w:r>
    </w:p>
    <w:p>
      <w:hyperlink r:id="rId13">
        <w:r>
          <w:rPr>
            <w:color w:val="2E74B5"/>
            <w:u w:val="single"/>
          </w:rPr>
          <w:t>zhongkao.pinmooconsulting.com</w:t>
        </w:r>
      </w:hyperlink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01  ·  SYSTEM GUIDE</w:t>
      </w:r>
    </w:p>
    <w:p>
      <w:pPr>
        <w:pStyle w:val="Heading1"/>
        <w:pBdr>
          <w:bottom w:val="single" w:sz="10" w:space="6" w:color="2E74B5"/>
        </w:pBdr>
      </w:pPr>
      <w:r>
        <w:t>不是替家长做决定，而是把决定的后果先模拟一遍</w:t>
      </w:r>
    </w:p>
    <w:p>
      <w:pPr>
        <w:spacing w:after="200"/>
      </w:pPr>
      <w:r>
        <w:rPr>
          <w:color w:val="66788A"/>
        </w:rPr>
        <w:t>同样的分数，因为批次、志愿顺序、梯度线、资格与学校热度不同，最终去向可能完全不同。系统的价值，是让家长在正式提交前看见风险、机会与可调整空间。</w:t>
      </w:r>
    </w:p>
    <w:p>
      <w:pPr>
        <w:shd w:fill="FFF6DF"/>
        <w:spacing w:before="100" w:after="200" w:line="259" w:lineRule="auto"/>
        <w:ind w:left="230" w:right="230"/>
      </w:pPr>
      <w:r>
        <w:rPr>
          <w:b/>
          <w:color w:val="B54747"/>
        </w:rPr>
        <w:t>家长最容易忽略的不是“能不能报”，而是“这样排序之后会发生什么”。</w:t>
        <w:br/>
      </w:r>
      <w:r>
        <w:rPr>
          <w:color w:val="263849"/>
        </w:rPr>
        <w:t>高分并不等于每个志愿都安全；分数达到学校最低线，也不代表一定能以当前志愿序号被录取。系统会把梯度、志愿序号、资格限制和历史波动放在一起判断。</w:t>
      </w:r>
    </w:p>
    <w:p>
      <w:pPr>
        <w:pStyle w:val="Heading2"/>
      </w:pPr>
      <w:r>
        <w:t>产品一句话定位</w:t>
      </w:r>
    </w:p>
    <w:p>
      <w:r>
        <w:t>“广州中考志愿模拟助手”是一套面向广州中考家庭的志愿决策工具。家长可以从大概分数出发生成方向，也可以围绕目标学校倒推冲刺分值，或把已有志愿表交给系统复核。系统输出方案评分、单校机会区间、最可能录取学校、未被普通高中录取的估算风险，以及可直接执行的调整建议。</w:t>
      </w:r>
    </w:p>
    <w:p>
      <w:pPr>
        <w:pStyle w:val="Heading2"/>
      </w:pPr>
      <w:r>
        <w:t>它解决的四个典型问题</w:t>
      </w:r>
    </w:p>
    <w:p>
      <w:pPr>
        <w:pStyle w:val="ListBullet"/>
      </w:pPr>
      <w:r>
        <w:t>学校很多、规则复杂，不知道从哪里开始选。</w:t>
      </w:r>
    </w:p>
    <w:p>
      <w:pPr>
        <w:pStyle w:val="ListBullet"/>
      </w:pPr>
      <w:r>
        <w:t>心里已有方案，但不确定冲、稳、保是否真正拉开。</w:t>
      </w:r>
    </w:p>
    <w:p>
      <w:pPr>
        <w:pStyle w:val="ListBullet"/>
      </w:pPr>
      <w:r>
        <w:t>有目标学校，却不知道需要冲到多少分、应该放在哪个志愿位置。</w:t>
      </w:r>
    </w:p>
    <w:p>
      <w:pPr>
        <w:pStyle w:val="ListBullet"/>
      </w:pPr>
      <w:r>
        <w:t>只看往年最低分，忽略了末位志愿序号、梯度保护、资格与年度波动。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产品要素</w:t>
            </w:r>
          </w:p>
        </w:tc>
        <w:tc>
          <w:tcPr>
            <w:tcW w:type="dxa" w:w="72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当前说明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适用对象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2026年广州中考考生家庭；亦可用于后续年度的规则暂估与方向讨论</w:t>
            </w:r>
          </w:p>
        </w:tc>
      </w:tr>
      <w:tr>
        <w:tc>
          <w:tcPr>
            <w:tcW w:type="dxa" w:w="21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覆盖批次</w:t>
            </w:r>
          </w:p>
        </w:tc>
        <w:tc>
          <w:tcPr>
            <w:tcW w:type="dxa" w:w="72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普通高中第二批次3个、第三批次6个、第四批次6个志愿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核心输出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方案评分、冲稳保结构、录取机会区间、置信度、最可能录取去向与具体调整建议</w:t>
            </w:r>
          </w:p>
        </w:tc>
      </w:tr>
      <w:tr>
        <w:tc>
          <w:tcPr>
            <w:tcW w:type="dxa" w:w="21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使用方式</w:t>
            </w:r>
          </w:p>
        </w:tc>
        <w:tc>
          <w:tcPr>
            <w:tcW w:type="dxa" w:w="72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网页工具；匿名使用；支持本地草稿、JSON导入导出、打印与另存PDF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解锁方式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9.99元序列号；一个序列号最多绑定2台不同设备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02  ·  SYSTEM GUIDE</w:t>
      </w:r>
    </w:p>
    <w:p>
      <w:pPr>
        <w:pStyle w:val="Heading1"/>
        <w:pBdr>
          <w:bottom w:val="single" w:sz="10" w:space="6" w:color="2E74B5"/>
        </w:pBdr>
      </w:pPr>
      <w:r>
        <w:t>三种入口，对应三类真实填报状态</w:t>
      </w:r>
    </w:p>
    <w:p>
      <w:pPr>
        <w:spacing w:after="200"/>
      </w:pPr>
      <w:r>
        <w:rPr>
          <w:color w:val="66788A"/>
        </w:rPr>
        <w:t>系统不要求每位家长一开始就懂学校。先判断家长现在掌握了什么，再进入相应流程。三种模式可以互相切换，最终都能形成一份可继续修改的模拟志愿表。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080"/>
        <w:gridCol w:w="2740"/>
        <w:gridCol w:w="3040"/>
      </w:tblGrid>
      <w:tr>
        <w:trPr>
          <w:tblHeader w:val="true"/>
        </w:trPr>
        <w:tc>
          <w:tcPr>
            <w:tcW w:type="dxa" w:w="15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使用模式</w:t>
            </w:r>
          </w:p>
        </w:tc>
        <w:tc>
          <w:tcPr>
            <w:tcW w:type="dxa" w:w="208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适合谁</w:t>
            </w:r>
          </w:p>
        </w:tc>
        <w:tc>
          <w:tcPr>
            <w:tcW w:type="dxa" w:w="274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需要填写</w:t>
            </w:r>
          </w:p>
        </w:tc>
        <w:tc>
          <w:tcPr>
            <w:tcW w:type="dxa" w:w="304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系统给什么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方向推荐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只有大概估分、尚未研究学校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估分上下限、考生类别、升学区、户籍区、风险偏好等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优先参考学校录取门槛位次与户籍所在区，生成进取／均衡／稳健三套冲稳保方向草案</w:t>
            </w:r>
          </w:p>
        </w:tc>
      </w:tr>
      <w:tr>
        <w:tc>
          <w:tcPr>
            <w:tcW w:type="dxa" w:w="15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目标学校</w:t>
            </w:r>
          </w:p>
        </w:tc>
        <w:tc>
          <w:tcPr>
            <w:tcW w:type="dxa" w:w="208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已有心仪学校，希望知道怎么冲</w:t>
            </w:r>
          </w:p>
        </w:tc>
        <w:tc>
          <w:tcPr>
            <w:tcW w:type="dxa" w:w="274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目标学校、当前估分、考生类别、升学区与资格信息</w:t>
            </w:r>
          </w:p>
        </w:tc>
        <w:tc>
          <w:tcPr>
            <w:tcW w:type="dxa" w:w="304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建议冲刺分值、历史门槛、适合的志愿位置、上下衔接学校与风险提示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方案求证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已经有志愿计划，想检查是否合理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完整考生条件与自己的15个志愿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100分评分、单校机会、录取去向分布、风险项和可自动应用的补强建议</w:t>
            </w:r>
          </w:p>
        </w:tc>
      </w:tr>
    </w:tbl>
    <w:p>
      <w:pPr>
        <w:spacing w:after="0"/>
      </w:pPr>
    </w:p>
    <w:p>
      <w:pPr>
        <w:pStyle w:val="Heading2"/>
      </w:pPr>
      <w:r>
        <w:t>方向推荐：不研究学校也能先有一个可讨论的起点</w:t>
      </w:r>
    </w:p>
    <w:p>
      <w:r>
        <w:t>家长只需输入估分下限和上限，再补充考生类别、升学区域、户籍所在区与希望方案更偏进取、均衡还是稳健。系统先筛除明显不符合报考范围或偏好的学校，再按历史门槛位次、波动程度、同区优先与志愿层级形成草案。</w:t>
      </w:r>
    </w:p>
    <w:p>
      <w:pPr>
        <w:shd w:fill="EAF5F0"/>
        <w:spacing w:before="100" w:after="200" w:line="259" w:lineRule="auto"/>
        <w:ind w:left="230" w:right="230"/>
      </w:pPr>
      <w:r>
        <w:rPr>
          <w:b/>
          <w:color w:val="2D7C62"/>
        </w:rPr>
        <w:t>切换风险偏好后，变化的不只是提示文字。</w:t>
        <w:br/>
      </w:r>
      <w:r>
        <w:rPr>
          <w:color w:val="263849"/>
        </w:rPr>
        <w:t>进取方案会保留更多上探学校；均衡方案强调冲、稳、保的层次；稳健方案会提高可接受保底的数量和位置。系统会重新计算机会结构、预估去向与未录取风险。</w:t>
      </w:r>
    </w:p>
    <w:p>
      <w:pPr>
        <w:pStyle w:val="Heading2"/>
      </w:pPr>
      <w:r>
        <w:t>目标学校：从“想去”倒推“要做到什么”</w:t>
      </w:r>
    </w:p>
    <w:p>
      <w:r>
        <w:t>选择目标学校后，系统会结合其历年录取门槛、招生计划变化、同分序号与末位志愿序号，给出目标分值区间与填报位置建议。若当前估分差距较大，会同时提供同层级替代方向和更稳妥的承接学校。</w:t>
      </w:r>
    </w:p>
    <w:p>
      <w:pPr>
        <w:pStyle w:val="Heading2"/>
      </w:pPr>
      <w:r>
        <w:t>方案求证：对已有志愿表进行结构化体检</w:t>
      </w:r>
    </w:p>
    <w:p>
      <w:r>
        <w:t>系统检查重复学校、空档、资格冲突、批次与志愿顺序，并用同一组模拟情景计算所有学校的去向分布。家长可以点击“去调整”，由系统直接应用推荐调整，再重新分析，而不需要逐项手工改表。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03  ·  SYSTEM GUIDE</w:t>
      </w:r>
    </w:p>
    <w:p>
      <w:pPr>
        <w:pStyle w:val="Heading1"/>
        <w:pBdr>
          <w:bottom w:val="single" w:sz="10" w:space="6" w:color="2E74B5"/>
        </w:pBdr>
      </w:pPr>
      <w:r>
        <w:t>一次完整使用，从考生条件到可打印报告</w:t>
      </w:r>
    </w:p>
    <w:p>
      <w:pPr>
        <w:spacing w:after="200"/>
      </w:pPr>
      <w:r>
        <w:rPr>
          <w:color w:val="66788A"/>
        </w:rPr>
        <w:t>系统将复杂规则拆成连续步骤，减少来回跳转。页面顶端与快捷导航均可返回首页、切换模式或进入专项信息页。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填写考生信息｜</w:t>
      </w:r>
      <w:r>
        <w:t>选择目标年度、复盘或预测模式，输入分数或估分区间、户籍与学籍区、考生类别及必要资格。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设定选校偏好｜</w:t>
      </w:r>
      <w:r>
        <w:t>选择公民办、学费上限、住宿、区域、排除学校与风险偏好；同机会档优先推荐户籍同区学校。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筛选或生成学校｜</w:t>
      </w:r>
      <w:r>
        <w:t>可以搜索学校，也可以由系统按方向自动生成冲稳保草案。特长生、自主招生等从独立入口查询。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完成模拟志愿表｜</w:t>
      </w:r>
      <w:r>
        <w:t>按2026结构填写第二批3个、第三批6个、第四批6个志愿；支持排序、重复拦截与连续志愿校验。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运行方案分析｜</w:t>
      </w:r>
      <w:r>
        <w:t>系统先做资格与表格检查，再运行历史复盘或未来情景模拟，计算方案评分和各校机会。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查看去向与建议｜</w:t>
      </w:r>
      <w:r>
        <w:t>读取最可能录取学校、各校机会区间、未录取风险和具体批次／志愿序号的调整建议。</w:t>
      </w:r>
    </w:p>
    <w:p>
      <w:pPr>
        <w:numPr>
          <w:ilvl w:val="0"/>
          <w:numId w:val="10"/>
        </w:numPr>
        <w:spacing w:after="160"/>
      </w:pPr>
      <w:r>
        <w:rPr>
          <w:b/>
          <w:color w:val="2E74B5"/>
        </w:rPr>
        <w:t>保存、导出与复核｜</w:t>
      </w:r>
      <w:r>
        <w:t>草稿保存在当前浏览器，可匿名导出JSON；最终可打印或由浏览器另存为PDF，并在正式填报前对照官方信息。</w:t>
      </w:r>
    </w:p>
    <w:p>
      <w:pPr>
        <w:pStyle w:val="Heading2"/>
      </w:pPr>
      <w:r>
        <w:t>需要填写哪些信息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3600"/>
        <w:gridCol w:w="4200"/>
      </w:tblGrid>
      <w:tr>
        <w:trPr>
          <w:tblHeader w:val="true"/>
        </w:trPr>
        <w:tc>
          <w:tcPr>
            <w:tcW w:type="dxa" w:w="15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6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主要字段</w:t>
            </w:r>
          </w:p>
        </w:tc>
        <w:tc>
          <w:tcPr>
            <w:tcW w:type="dxa" w:w="42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成绩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分数／估分上下限、同分序号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定位分数梯度、转换历史位次、判断同分情形</w:t>
            </w:r>
          </w:p>
        </w:tc>
      </w:tr>
      <w:tr>
        <w:tc>
          <w:tcPr>
            <w:tcW w:type="dxa" w:w="15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身份与区域</w:t>
            </w:r>
          </w:p>
        </w:tc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户籍区、学籍区、考生类别、是否跨区</w:t>
            </w:r>
          </w:p>
        </w:tc>
        <w:tc>
          <w:tcPr>
            <w:tcW w:type="dxa" w:w="4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判断招生范围、外区计划与可报资格</w:t>
            </w:r>
          </w:p>
        </w:tc>
      </w:tr>
      <w:t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名额分配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所在初中、名额分配资格、是否参加第二批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匹配第二批分配学校、计划与历年录取结果</w:t>
            </w:r>
          </w:p>
        </w:tc>
      </w:tr>
      <w:tr>
        <w:tc>
          <w:tcPr>
            <w:tcW w:type="dxa" w:w="15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学业条件</w:t>
            </w:r>
          </w:p>
        </w:tc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参考科目等级等</w:t>
            </w:r>
          </w:p>
        </w:tc>
        <w:tc>
          <w:tcPr>
            <w:tcW w:type="dxa" w:w="4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核验学校或类别的报考要求</w:t>
            </w:r>
          </w:p>
        </w:tc>
      </w:tr>
      <w:t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家庭偏好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公民办、学费、住宿、区域、排除学校、风险偏好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让建议在录取机会之外也符合家庭可接受范围</w:t>
            </w:r>
          </w:p>
        </w:tc>
      </w:tr>
    </w:tbl>
    <w:p>
      <w:pPr>
        <w:spacing w:after="0"/>
      </w:pPr>
    </w:p>
    <w:p>
      <w:pPr>
        <w:shd w:fill="EAF3FA"/>
        <w:spacing w:before="100" w:after="200" w:line="259" w:lineRule="auto"/>
        <w:ind w:left="230" w:right="230"/>
      </w:pPr>
      <w:r>
        <w:rPr>
          <w:b/>
          <w:color w:val="123B66"/>
        </w:rPr>
        <w:t>隐私边界</w:t>
        <w:br/>
      </w:r>
      <w:r>
        <w:rPr>
          <w:color w:val="263849"/>
        </w:rPr>
        <w:t>系统不要求填写姓名、准考证号、身份证号或联系方式。草稿默认仅保存在当前浏览器；匿名导出前会再次提示检查是否包含个人身份信息。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04  ·  SYSTEM GUIDE</w:t>
      </w:r>
    </w:p>
    <w:p>
      <w:pPr>
        <w:pStyle w:val="Heading1"/>
        <w:pBdr>
          <w:bottom w:val="single" w:sz="10" w:space="6" w:color="2E74B5"/>
        </w:pBdr>
      </w:pPr>
      <w:r>
        <w:t>广州普通高中录取逻辑，系统如何理解</w:t>
      </w:r>
    </w:p>
    <w:p>
      <w:pPr>
        <w:spacing w:after="200"/>
      </w:pPr>
      <w:r>
        <w:rPr>
          <w:color w:val="66788A"/>
        </w:rPr>
        <w:t>模拟的基础不是“某校去年多少分”，而是广州中考在批次内按梯度、志愿顺序和成绩择优投档的组合规则。不同年度政策以当年官方文件为准。</w:t>
      </w:r>
    </w:p>
    <w:p>
      <w:pPr>
        <w:pStyle w:val="Heading2"/>
      </w:pPr>
      <w:r>
        <w:t>核心原则：梯度投档、志愿优先、择优录取</w:t>
      </w:r>
    </w:p>
    <w:p>
      <w:pPr>
        <w:numPr>
          <w:ilvl w:val="0"/>
          <w:numId w:val="10"/>
        </w:numPr>
        <w:spacing w:after="140"/>
      </w:pPr>
      <w:r>
        <w:t>先按批次处理。前一批次一旦录取，后续批次不再继续投档。</w:t>
      </w:r>
    </w:p>
    <w:p>
      <w:pPr>
        <w:numPr>
          <w:ilvl w:val="0"/>
          <w:numId w:val="10"/>
        </w:numPr>
        <w:spacing w:after="140"/>
      </w:pPr>
      <w:r>
        <w:t>批次内按投档控制线形成分数梯度；高梯度考生在投向低梯度学校时可能获得梯度保护。</w:t>
      </w:r>
    </w:p>
    <w:p>
      <w:pPr>
        <w:numPr>
          <w:ilvl w:val="0"/>
          <w:numId w:val="10"/>
        </w:numPr>
        <w:spacing w:after="140"/>
      </w:pPr>
      <w:r>
        <w:t>同一梯度内重视志愿序号。学校若在第一志愿已完成计划，后续志愿即使达到最低分，也可能没有机会。</w:t>
      </w:r>
    </w:p>
    <w:p>
      <w:pPr>
        <w:numPr>
          <w:ilvl w:val="0"/>
          <w:numId w:val="10"/>
        </w:numPr>
        <w:spacing w:after="140"/>
      </w:pPr>
      <w:r>
        <w:t>同一志愿序号内再按成绩择优；同分时需要结合官方公布的同分序号或相关排序规则。</w:t>
      </w:r>
    </w:p>
    <w:p>
      <w:pPr>
        <w:shd w:fill="FCEEEE"/>
        <w:spacing w:before="100" w:after="200" w:line="259" w:lineRule="auto"/>
        <w:ind w:left="230" w:right="230"/>
      </w:pPr>
      <w:r>
        <w:rPr>
          <w:b/>
          <w:color w:val="B54747"/>
        </w:rPr>
        <w:t>最低录取分数线不是一张“入场券”。</w:t>
        <w:br/>
      </w:r>
      <w:r>
        <w:rPr>
          <w:color w:val="263849"/>
        </w:rPr>
        <w:t>它是当年实际投档结果的截面。家长还要同时看该校在什么志愿序号完成录取、考生所在梯度、同分排序、招生范围和当年竞争变化。</w:t>
      </w:r>
    </w:p>
    <w:p>
      <w:pPr>
        <w:pStyle w:val="Heading2"/>
      </w:pPr>
      <w:r>
        <w:t>示意案例：715分为什么可能到第三志愿才录取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200"/>
        <w:gridCol w:w="4760"/>
      </w:tblGrid>
      <w:tr>
        <w:trPr>
          <w:tblHeader w:val="true"/>
        </w:trPr>
        <w:tc>
          <w:tcPr>
            <w:tcW w:type="dxa" w:w="14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志愿</w:t>
            </w:r>
          </w:p>
        </w:tc>
        <w:tc>
          <w:tcPr>
            <w:tcW w:type="dxa" w:w="32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学校与示意门槛</w:t>
            </w:r>
          </w:p>
        </w:tc>
        <w:tc>
          <w:tcPr>
            <w:tcW w:type="dxa" w:w="47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模拟判断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第一志愿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铁一中学越秀校区｜717分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考生715分未达到示意门槛，不能投档</w:t>
            </w:r>
          </w:p>
        </w:tc>
      </w:tr>
      <w:tr>
        <w:tc>
          <w:tcPr>
            <w:tcW w:type="dxa" w:w="14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第二志愿</w:t>
            </w:r>
          </w:p>
        </w:tc>
        <w:tc>
          <w:tcPr>
            <w:tcW w:type="dxa" w:w="3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广州市第六中学海珠校区｜712分</w:t>
            </w:r>
          </w:p>
        </w:tc>
        <w:tc>
          <w:tcPr>
            <w:tcW w:type="dxa" w:w="47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分数达到，但若当年该校在第一志愿已经完成计划，第二志愿仍无法录取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第三志愿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清华附中湾区学校｜698分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考生处于更高梯度，学校位于较低梯度；在符合当年投档条件时，可通过梯度保护获得录取机会</w:t>
            </w:r>
          </w:p>
        </w:tc>
      </w:tr>
    </w:tbl>
    <w:p>
      <w:pPr>
        <w:spacing w:after="0"/>
      </w:pPr>
    </w:p>
    <w:p>
      <w:r>
        <w:rPr>
          <w:i/>
          <w:color w:val="66788A"/>
          <w:sz w:val="18"/>
        </w:rPr>
        <w:t>说明：以上为规则理解示意，学校名称、分数与志愿结果不能脱离对应年度、批次、招生范围和官方录取表单独使用。</w:t>
      </w:r>
    </w:p>
    <w:p>
      <w:pPr>
        <w:pStyle w:val="Heading2"/>
      </w:pPr>
      <w:r>
        <w:t>历史复盘的三种判断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41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需要注意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可投档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按该年度已公开条件，考生在此志愿具备投档可能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仍应对照招生范围、计划类型及最终官方录取结果</w:t>
            </w:r>
          </w:p>
        </w:tc>
      </w:tr>
      <w:tr>
        <w:tc>
          <w:tcPr>
            <w:tcW w:type="dxa" w:w="1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不能投档</w:t>
            </w:r>
          </w:p>
        </w:tc>
        <w:tc>
          <w:tcPr>
            <w:tcW w:type="dxa" w:w="41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分数、梯度、志愿序号或资格中至少一项不满足</w:t>
            </w:r>
          </w:p>
        </w:tc>
        <w:tc>
          <w:tcPr>
            <w:tcW w:type="dxa" w:w="36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系统会指出具体原因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结果不确定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分数相同但同分序号不足，或官方数据缺少关键字段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不会强行判定为录取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05  ·  SYSTEM GUIDE</w:t>
      </w:r>
    </w:p>
    <w:p>
      <w:pPr>
        <w:pStyle w:val="Heading1"/>
        <w:pBdr>
          <w:bottom w:val="single" w:sz="10" w:space="6" w:color="2E74B5"/>
        </w:pBdr>
      </w:pPr>
      <w:r>
        <w:t>历史复盘与未来预测，是两种不同的答案</w:t>
      </w:r>
    </w:p>
    <w:p>
      <w:pPr>
        <w:spacing w:after="200"/>
      </w:pPr>
      <w:r>
        <w:rPr>
          <w:color w:val="66788A"/>
        </w:rPr>
        <w:t>复盘回答“如果当年这样填，可能发生什么”；预测回答“把历史波动带入未来后，各种结果出现的频率如何”。两者不能混为一谈。</w:t>
      </w:r>
    </w:p>
    <w:p>
      <w:pPr>
        <w:pStyle w:val="Heading2"/>
      </w:pPr>
      <w:r>
        <w:t>历史复盘模式</w:t>
      </w:r>
    </w:p>
    <w:p>
      <w:r>
        <w:t>选择2021—2026年后，系统按该年度可用的梯度线、学校录取线、末位志愿序号和同分序号进行复演。若某年度或某批次官方数据缺失，系统应明确显示数据不足，而不是用邻近年度补齐成“真实结果”。</w:t>
      </w:r>
    </w:p>
    <w:p>
      <w:pPr>
        <w:pStyle w:val="Heading2"/>
      </w:pPr>
      <w:r>
        <w:t>未来预测模式</w:t>
      </w:r>
    </w:p>
    <w:p>
      <w:r>
        <w:t>面向2027年及以后，在新年度政策尚未正式发布前，页面明确显示“暂按2026规则模拟”。未来预测不是简单取历年平均分，而是把估分波动、历史年份差异、分数位次和批次投档顺序放进10,000次确定性情景模拟。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60"/>
        <w:gridCol w:w="7400"/>
      </w:tblGrid>
      <w:tr>
        <w:trPr>
          <w:tblHeader w:val="true"/>
        </w:trPr>
        <w:tc>
          <w:tcPr>
            <w:tcW w:type="dxa" w:w="19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4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估分</w:t>
            </w:r>
          </w:p>
        </w:tc>
        <w:tc>
          <w:tcPr>
            <w:tcW w:type="dxa" w:w="7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按用户填写的下限—中心值—上限形成三角分布，兼顾发挥不理想、正常和较好情形</w:t>
            </w:r>
          </w:p>
        </w:tc>
      </w:tr>
      <w:tr>
        <w:tc>
          <w:tcPr>
            <w:tcW w:type="dxa" w:w="19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历史权重</w:t>
            </w:r>
          </w:p>
        </w:tc>
        <w:tc>
          <w:tcPr>
            <w:tcW w:type="dxa" w:w="74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2021—2026年依次采用5%、8%、12%、20%、25%、30%，让近年数据权重更高</w:t>
            </w:r>
          </w:p>
        </w:tc>
      </w:tr>
      <w:tr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位次换算</w:t>
            </w:r>
          </w:p>
        </w:tc>
        <w:tc>
          <w:tcPr>
            <w:tcW w:type="dxa" w:w="7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通过当年分数段将分数转换为可比较的位次，再映射学校门槛</w:t>
            </w:r>
          </w:p>
        </w:tc>
      </w:tr>
      <w:tr>
        <w:tc>
          <w:tcPr>
            <w:tcW w:type="dxa" w:w="19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投档顺序</w:t>
            </w:r>
          </w:p>
        </w:tc>
        <w:tc>
          <w:tcPr>
            <w:tcW w:type="dxa" w:w="74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逐批次、逐志愿模拟“梯度优先、同梯度志愿优先、分数择优”，首个满足条件的学校作为该情景结果</w:t>
            </w:r>
          </w:p>
        </w:tc>
      </w:tr>
      <w:tr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机会结果</w:t>
            </w:r>
          </w:p>
        </w:tc>
        <w:tc>
          <w:tcPr>
            <w:tcW w:type="dxa" w:w="7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输出机会中值与区间；结果统一限制在5%—95%，不出现0%或100%的保证式表达</w:t>
            </w:r>
          </w:p>
        </w:tc>
      </w:tr>
      <w:tr>
        <w:tc>
          <w:tcPr>
            <w:tcW w:type="dxa" w:w="19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置信度</w:t>
            </w:r>
          </w:p>
        </w:tc>
        <w:tc>
          <w:tcPr>
            <w:tcW w:type="dxa" w:w="74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同口径数据5年以上且波动较小为高；3—4年为中；不足3年或计划类型变化为低</w:t>
            </w:r>
          </w:p>
        </w:tc>
      </w:tr>
    </w:tbl>
    <w:p>
      <w:pPr>
        <w:spacing w:after="0"/>
      </w:pPr>
    </w:p>
    <w:p>
      <w:pPr>
        <w:shd w:fill="EAF5F0"/>
        <w:spacing w:before="100" w:after="200" w:line="259" w:lineRule="auto"/>
        <w:ind w:left="230" w:right="230"/>
      </w:pPr>
      <w:r>
        <w:rPr>
          <w:b/>
          <w:color w:val="2D7C62"/>
        </w:rPr>
        <w:t>为什么不把各校概率简单相加？</w:t>
        <w:br/>
      </w:r>
      <w:r>
        <w:rPr>
          <w:color w:val="263849"/>
        </w:rPr>
        <w:t>同一个考生只能在同一情景中得到一个最终去向。系统用同一组模拟情景统计“最可能录取学校”“各校结果占比”和“未被普通高中录取风险”，避免多个单校概率相加后超过100%。</w:t>
      </w:r>
    </w:p>
    <w:p>
      <w:pPr>
        <w:pStyle w:val="Heading2"/>
      </w:pPr>
      <w:r>
        <w:t>单校机会档位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18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机会中值</w:t>
            </w:r>
          </w:p>
        </w:tc>
        <w:tc>
          <w:tcPr>
            <w:tcW w:type="dxa" w:w="60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正确理解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冲刺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低于45%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有上探空间，但结果对分数、志愿热度和梯度变化更敏感</w:t>
            </w:r>
          </w:p>
        </w:tc>
      </w:tr>
      <w:tr>
        <w:tc>
          <w:tcPr>
            <w:tcW w:type="dxa" w:w="15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匹配</w:t>
            </w:r>
          </w:p>
        </w:tc>
        <w:tc>
          <w:tcPr>
            <w:tcW w:type="dxa" w:w="18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45%—74%</w:t>
            </w:r>
          </w:p>
        </w:tc>
        <w:tc>
          <w:tcPr>
            <w:tcW w:type="dxa" w:w="60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与当前条件较接近，仍需用后续志愿承接风险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保底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75%及以上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相对稳妥，但不是录取承诺，仍受资格和当年竞争影响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06  ·  SYSTEM GUIDE</w:t>
      </w:r>
    </w:p>
    <w:p>
      <w:pPr>
        <w:pStyle w:val="Heading1"/>
        <w:pBdr>
          <w:bottom w:val="single" w:sz="10" w:space="6" w:color="2E74B5"/>
        </w:pBdr>
      </w:pPr>
      <w:r>
        <w:t>100分方案评分：告诉家长哪里需要改</w:t>
      </w:r>
    </w:p>
    <w:p>
      <w:pPr>
        <w:spacing w:after="200"/>
      </w:pPr>
      <w:r>
        <w:rPr>
          <w:color w:val="66788A"/>
        </w:rPr>
        <w:t>评分的目的不是制造“漂亮数字”，而是检查志愿表是否有效、是否充分利用槽位、是否形成层次、顺序是否保护分数，以及有没有家庭真正能接受的保底。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1200"/>
        <w:gridCol w:w="5700"/>
      </w:tblGrid>
      <w:tr>
        <w:trPr>
          <w:tblHeader w:val="true"/>
        </w:trPr>
        <w:tc>
          <w:tcPr>
            <w:tcW w:type="dxa" w:w="24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12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57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检查重点</w:t>
            </w:r>
          </w:p>
        </w:tc>
      </w:tr>
      <w:tr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资格与表格有效性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20分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招生范围、考生类别、名额分配、参考科目、重复学校、连续志愿等</w:t>
            </w:r>
          </w:p>
        </w:tc>
      </w:tr>
      <w:tr>
        <w:tc>
          <w:tcPr>
            <w:tcW w:type="dxa" w:w="2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志愿槽位利用</w:t>
            </w:r>
          </w:p>
        </w:tc>
        <w:tc>
          <w:tcPr>
            <w:tcW w:type="dxa" w:w="1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15分</w:t>
            </w:r>
          </w:p>
        </w:tc>
        <w:tc>
          <w:tcPr>
            <w:tcW w:type="dxa" w:w="5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第二、第三、第四批次的可用位置是否被合理利用，是否出现无必要空档</w:t>
            </w:r>
          </w:p>
        </w:tc>
      </w:tr>
      <w:tr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冲稳保结构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25分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是否真正形成机会层次，避免所有学校都集中在同一风险区间</w:t>
            </w:r>
          </w:p>
        </w:tc>
      </w:tr>
      <w:tr>
        <w:tc>
          <w:tcPr>
            <w:tcW w:type="dxa" w:w="2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志愿顺序与梯度保护</w:t>
            </w:r>
          </w:p>
        </w:tc>
        <w:tc>
          <w:tcPr>
            <w:tcW w:type="dxa" w:w="1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25分</w:t>
            </w:r>
          </w:p>
        </w:tc>
        <w:tc>
          <w:tcPr>
            <w:tcW w:type="dxa" w:w="5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学校排序是否符合意愿，是否兼顾末位志愿序号和梯度保护</w:t>
            </w:r>
          </w:p>
        </w:tc>
      </w:tr>
      <w:tr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保底完整性及偏好匹配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15分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是否有可接受的保底，学费、住宿、区域、公民办等是否符合家庭限制</w:t>
            </w:r>
          </w:p>
        </w:tc>
      </w:tr>
    </w:tbl>
    <w:p>
      <w:pPr>
        <w:spacing w:after="0"/>
      </w:pPr>
    </w:p>
    <w:p>
      <w:pPr>
        <w:pStyle w:val="Heading2"/>
      </w:pPr>
      <w:r>
        <w:t>分数怎么解释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5660"/>
      </w:tblGrid>
      <w:tr>
        <w:trPr>
          <w:tblHeader w:val="true"/>
        </w:trPr>
        <w:tc>
          <w:tcPr>
            <w:tcW w:type="dxa" w:w="17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总分</w:t>
            </w:r>
          </w:p>
        </w:tc>
        <w:tc>
          <w:tcPr>
            <w:tcW w:type="dxa" w:w="20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评价</w:t>
            </w:r>
          </w:p>
        </w:tc>
        <w:tc>
          <w:tcPr>
            <w:tcW w:type="dxa" w:w="56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85—100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稳健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整体结构完整，重点复核资格、偏好和最新官方数据</w:t>
            </w:r>
          </w:p>
        </w:tc>
      </w:tr>
      <w:tr>
        <w:tc>
          <w:tcPr>
            <w:tcW w:type="dxa" w:w="1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70—84</w:t>
            </w:r>
          </w:p>
        </w:tc>
        <w:tc>
          <w:tcPr>
            <w:tcW w:type="dxa" w:w="20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基本合理</w:t>
            </w:r>
          </w:p>
        </w:tc>
        <w:tc>
          <w:tcPr>
            <w:tcW w:type="dxa" w:w="56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存在局部次序、槽位或保底问题，建议按系统提示优化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55—69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风险偏高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冲稳保失衡或承接不足，应调整具体批次与志愿位置</w:t>
            </w:r>
          </w:p>
        </w:tc>
      </w:tr>
      <w:tr>
        <w:tc>
          <w:tcPr>
            <w:tcW w:type="dxa" w:w="1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低于55</w:t>
            </w:r>
          </w:p>
        </w:tc>
        <w:tc>
          <w:tcPr>
            <w:tcW w:type="dxa" w:w="20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建议重排</w:t>
            </w:r>
          </w:p>
        </w:tc>
        <w:tc>
          <w:tcPr>
            <w:tcW w:type="dxa" w:w="56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先解决资格与表格问题，再重新建立冲稳保结构</w:t>
            </w:r>
          </w:p>
        </w:tc>
      </w:tr>
    </w:tbl>
    <w:p>
      <w:pPr>
        <w:spacing w:after="0"/>
      </w:pPr>
    </w:p>
    <w:p>
      <w:pPr>
        <w:shd w:fill="FCEEEE"/>
        <w:spacing w:before="100" w:after="200" w:line="259" w:lineRule="auto"/>
        <w:ind w:left="230" w:right="230"/>
      </w:pPr>
      <w:r>
        <w:rPr>
          <w:b/>
          <w:color w:val="B54747"/>
        </w:rPr>
        <w:t>评分设有安全上限</w:t>
        <w:br/>
      </w:r>
      <w:r>
        <w:rPr>
          <w:color w:val="263849"/>
        </w:rPr>
        <w:t>出现无资格学校时，总分最高59分；没有家庭可接受的保底，或学校学费明确超过家庭上限时，总分最高69分。系统不会用其他加分项掩盖关键风险。</w:t>
      </w:r>
    </w:p>
    <w:p>
      <w:pPr>
        <w:pStyle w:val="Heading2"/>
      </w:pPr>
      <w:r>
        <w:t>“满分补强清单”如何工作</w:t>
      </w:r>
    </w:p>
    <w:p>
      <w:r>
        <w:t>分析后，系统按优先级列出离100分还缺什么，例如补齐可用志愿、增加匹配校、补充可接受保底、调整高低梯度顺序或移除无资格学校。建议必须指出具体批次和志愿序号，并给出可替换学校、调整原因以及调整后的预计变化。点击“去调整”后，系统可直接应用选择并重新分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家长看到的结果</w:t>
            </w:r>
          </w:p>
        </w:tc>
        <w:tc>
          <w:tcPr>
            <w:tcW w:type="dxa" w:w="64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应该怎么读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方案评分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看志愿表结构和规则风险，不等同于考生成绩或录取概率</w:t>
            </w:r>
          </w:p>
        </w:tc>
      </w:tr>
      <w:tr>
        <w:tc>
          <w:tcPr>
            <w:tcW w:type="dxa" w:w="29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机会区间</w:t>
            </w:r>
          </w:p>
        </w:tc>
        <w:tc>
          <w:tcPr>
            <w:tcW w:type="dxa" w:w="6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看不确定性范围，不只看中间值；区间越宽，年度波动或数据不足越明显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置信度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判断依据是否充足、口径是否稳定；低置信度结果需要更多人工核实</w:t>
            </w:r>
          </w:p>
        </w:tc>
      </w:tr>
      <w:tr>
        <w:tc>
          <w:tcPr>
            <w:tcW w:type="dxa" w:w="29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最可能录取学校</w:t>
            </w:r>
          </w:p>
        </w:tc>
        <w:tc>
          <w:tcPr>
            <w:tcW w:type="dxa" w:w="6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是10,000次情景中出现频率较高的去向，不是录取承诺</w:t>
            </w:r>
          </w:p>
        </w:tc>
      </w:tr>
      <w:t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未录取风险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提示普通高中志愿整体承接是否足够，不能用单个保底标签替代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07  ·  SYSTEM GUIDE</w:t>
      </w:r>
    </w:p>
    <w:p>
      <w:pPr>
        <w:pStyle w:val="Heading1"/>
        <w:pBdr>
          <w:bottom w:val="single" w:sz="10" w:space="6" w:color="2E74B5"/>
        </w:pBdr>
      </w:pPr>
      <w:r>
        <w:t>学校信息不只给分数，还要说明依据与边界</w:t>
      </w:r>
    </w:p>
    <w:p>
      <w:pPr>
        <w:spacing w:after="200"/>
      </w:pPr>
      <w:r>
        <w:rPr>
          <w:color w:val="66788A"/>
        </w:rPr>
        <w:t>系统尽量把学校、校区、招生类别和不同考生口径拆开，避免把不同年份、不同批次或不同招生范围的数据混成一个数字。</w:t>
      </w:r>
    </w:p>
    <w:p>
      <w:pPr>
        <w:pStyle w:val="Heading2"/>
      </w:pPr>
      <w:r>
        <w:t>当前数据概况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7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数量／范围</w:t>
            </w:r>
          </w:p>
        </w:tc>
        <w:tc>
          <w:tcPr>
            <w:tcW w:type="dxa" w:w="54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学校主表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311所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按学校与校区建立标准化标识，学校更名或校区拆分需保留映射</w:t>
            </w:r>
          </w:p>
        </w:tc>
      </w:tr>
      <w:tr>
        <w:tc>
          <w:tcPr>
            <w:tcW w:type="dxa" w:w="2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招生录取记录</w:t>
            </w:r>
          </w:p>
        </w:tc>
        <w:tc>
          <w:tcPr>
            <w:tcW w:type="dxa" w:w="1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1,728条</w:t>
            </w:r>
          </w:p>
        </w:tc>
        <w:tc>
          <w:tcPr>
            <w:tcW w:type="dxa" w:w="5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覆盖已解析的年度、批次、招生类别、分数线、同分序号与末位志愿序号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第二批名额分配记录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27,222条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细化到考生所在初中、分配学校、计划数及历年结果</w:t>
            </w:r>
          </w:p>
        </w:tc>
      </w:tr>
      <w:tr>
        <w:tc>
          <w:tcPr>
            <w:tcW w:type="dxa" w:w="2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分数段记录</w:t>
            </w:r>
          </w:p>
        </w:tc>
        <w:tc>
          <w:tcPr>
            <w:tcW w:type="dxa" w:w="1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180条</w:t>
            </w:r>
          </w:p>
        </w:tc>
        <w:tc>
          <w:tcPr>
            <w:tcW w:type="dxa" w:w="5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用于跨年度位次换算与预测模拟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来源清单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27项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记录来源URL、抓取时间、文件哈希与解析版本，便于追溯</w:t>
            </w:r>
          </w:p>
        </w:tc>
      </w:tr>
      <w:tr>
        <w:tc>
          <w:tcPr>
            <w:tcW w:type="dxa" w:w="2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历史年度</w:t>
            </w:r>
          </w:p>
        </w:tc>
        <w:tc>
          <w:tcPr>
            <w:tcW w:type="dxa" w:w="17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2021—2026</w:t>
            </w:r>
          </w:p>
        </w:tc>
        <w:tc>
          <w:tcPr>
            <w:tcW w:type="dxa" w:w="54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以官方公开资料为主；不同年份的可解析完整度不同</w:t>
            </w:r>
          </w:p>
        </w:tc>
      </w:tr>
    </w:tbl>
    <w:p>
      <w:pPr>
        <w:spacing w:after="0"/>
      </w:pPr>
    </w:p>
    <w:p>
      <w:r>
        <w:rPr>
          <w:color w:val="66788A"/>
          <w:sz w:val="17"/>
        </w:rPr>
        <w:t>数据版本：20260722-d38b3ec0｜生成时间：2026-07-22｜本介绍制作时读取的版本快照</w:t>
      </w:r>
    </w:p>
    <w:p>
      <w:pPr>
        <w:pStyle w:val="Heading2"/>
      </w:pPr>
      <w:r>
        <w:t>数据字段</w:t>
      </w:r>
    </w:p>
    <w:p>
      <w:r>
        <w:t>标准记录包括学校／校区、区域、性质、招生范围、年度、批次、招生类别、户籍／随迁／外区口径、招生计划、实际录取人数、录取分数线、同分序号、末位志愿序号、梯度线、分数段与来源。第二批名额分配进一步记录所在初中和分配学校。</w:t>
      </w:r>
    </w:p>
    <w:p>
      <w:pPr>
        <w:pStyle w:val="Heading2"/>
      </w:pPr>
      <w:r>
        <w:t>明确不做的推定</w:t>
      </w:r>
    </w:p>
    <w:p>
      <w:pPr>
        <w:pStyle w:val="ListBullet"/>
      </w:pPr>
      <w:r>
        <w:t>实际录取人数没有统一官方依据时保留为空，不用计划数代替实际录取数。</w:t>
      </w:r>
    </w:p>
    <w:p>
      <w:pPr>
        <w:pStyle w:val="ListBullet"/>
      </w:pPr>
      <w:r>
        <w:t>学校自报高考成绩、升学率只作为独立参考卡片，标注年份、统计口径和来源，不进入录取模型。</w:t>
      </w:r>
    </w:p>
    <w:p>
      <w:pPr>
        <w:pStyle w:val="ListBullet"/>
      </w:pPr>
      <w:r>
        <w:t>不输出主观“学校质量总榜”；仅提供录取门槛位次、招生规模、波动程度等可核验指标。</w:t>
      </w:r>
    </w:p>
    <w:p>
      <w:pPr>
        <w:pStyle w:val="ListBullet"/>
      </w:pPr>
      <w:r>
        <w:t>住宿、学费、开放日、自主招生等动态信息必须标明来源和更新时间；不能确认时提示家长向学校核实。</w:t>
      </w:r>
    </w:p>
    <w:p>
      <w:pPr>
        <w:shd w:fill="FFF6DF"/>
        <w:spacing w:before="100" w:after="200" w:line="259" w:lineRule="auto"/>
        <w:ind w:left="230" w:right="230"/>
      </w:pPr>
      <w:r>
        <w:rPr>
          <w:b/>
          <w:color w:val="E7A629"/>
        </w:rPr>
        <w:t>数据缺口会降低置信度，而不是被隐藏。</w:t>
        <w:br/>
      </w:r>
      <w:r>
        <w:rPr>
          <w:color w:val="263849"/>
        </w:rPr>
        <w:t>2021年第三、第四批次及2022年第三批次部分官方页面为图片形式，自动化数据集中保留来源并将缺失记录明确标记。任何缺年、学校更名、校区拆分或计划大幅变化，都应触发置信度下调。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08  ·  SYSTEM GUIDE</w:t>
      </w:r>
    </w:p>
    <w:p>
      <w:pPr>
        <w:pStyle w:val="Heading1"/>
        <w:pBdr>
          <w:bottom w:val="single" w:sz="10" w:space="6" w:color="2E74B5"/>
        </w:pBdr>
      </w:pPr>
      <w:r>
        <w:t>专项信息独立呈现：特长生、自主招生与名额分配</w:t>
      </w:r>
    </w:p>
    <w:p>
      <w:pPr>
        <w:spacing w:after="200"/>
      </w:pPr>
      <w:r>
        <w:rPr>
          <w:color w:val="66788A"/>
        </w:rPr>
        <w:t>这些类别的资格、学校要求和沟通节点与普通高中统一招生不同，因此系统提供查询与决策辅助，但不把它们混进第三、第四批次的普通录取概率。</w:t>
      </w:r>
    </w:p>
    <w:p>
      <w:pPr>
        <w:pStyle w:val="Heading2"/>
      </w:pPr>
      <w:r>
        <w:t>特长生：先按项目找学校</w:t>
      </w:r>
    </w:p>
    <w:p>
      <w:r>
        <w:t>家长可以先选择足球、篮球、田径、艺术等特长类别，再查看开设相应项目的学校、往年资格要求、招生计划和参考分值。参考分值必须说明它来自普通批次门槛、专项最低控制要求还是历史公开材料，不能把固定比例换算成看似精确的“学校录取分”。</w:t>
      </w:r>
    </w:p>
    <w:p>
      <w:pPr>
        <w:pStyle w:val="Heading2"/>
      </w:pPr>
      <w:r>
        <w:t>自主招生：先选学校，再核验状态</w:t>
      </w:r>
    </w:p>
    <w:p>
      <w:r>
        <w:t>自主招生资格往往与具体学校、报名材料、综合能力考核和年度安排相关。正确流程是先选择学校，再展示该校当年或往年的招生简章、报名条件、开放日／校园咨询日、官方联系方式与资料准备提示。系统不在未选择学校时提前判断“资格通过”。</w:t>
      </w:r>
    </w:p>
    <w:p>
      <w:pPr>
        <w:pStyle w:val="Heading2"/>
      </w:pPr>
      <w:r>
        <w:t>学校沟通信息怎么用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信息</w:t>
            </w:r>
          </w:p>
        </w:tc>
        <w:tc>
          <w:tcPr>
            <w:tcW w:type="dxa" w:w="36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6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使用边界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开放日／校园咨询日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了解培养方向、招生要求、课程与住宿；提前准备问题清单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每年安排可能变化，以学校官方通知为准</w:t>
            </w:r>
          </w:p>
        </w:tc>
      </w:tr>
      <w:tr>
        <w:tc>
          <w:tcPr>
            <w:tcW w:type="dxa" w:w="21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校庆日</w:t>
            </w:r>
          </w:p>
        </w:tc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可作为了解学校文化与公开活动的参考节点</w:t>
            </w:r>
          </w:p>
        </w:tc>
        <w:tc>
          <w:tcPr>
            <w:tcW w:type="dxa" w:w="36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不能推定为自主招生沟通或录取节点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学校电话／官网／公众号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核实报名、材料、资格、考试和时间安排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优先使用学校官方渠道，避免非官方中介信息</w:t>
            </w:r>
          </w:p>
        </w:tc>
      </w:tr>
      <w:tr>
        <w:tc>
          <w:tcPr>
            <w:tcW w:type="dxa" w:w="21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参考分值</w:t>
            </w:r>
          </w:p>
        </w:tc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帮助判断是否值得重点准备或同时设置普通批次承接</w:t>
            </w:r>
          </w:p>
        </w:tc>
        <w:tc>
          <w:tcPr>
            <w:tcW w:type="dxa" w:w="36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不得理解为专项录取保证线</w:t>
            </w:r>
          </w:p>
        </w:tc>
      </w:tr>
    </w:tbl>
    <w:p>
      <w:pPr>
        <w:spacing w:after="0"/>
      </w:pPr>
    </w:p>
    <w:p>
      <w:pPr>
        <w:shd w:fill="EAF3FA"/>
        <w:spacing w:before="100" w:after="200" w:line="259" w:lineRule="auto"/>
        <w:ind w:left="230" w:right="230"/>
      </w:pPr>
      <w:r>
        <w:rPr>
          <w:b/>
          <w:color w:val="123B66"/>
        </w:rPr>
        <w:t>第二批名额分配需要考生主动确认。</w:t>
        <w:br/>
      </w:r>
      <w:r>
        <w:rPr>
          <w:color w:val="263849"/>
        </w:rPr>
        <w:t>只有勾选“我确认参加第二批名额分配”后，相关志愿与字段才显示；取消勾选时同步取消相关选择，避免家长误以为系统默认具备资格。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09  ·  SYSTEM GUIDE</w:t>
      </w:r>
    </w:p>
    <w:p>
      <w:pPr>
        <w:pStyle w:val="Heading1"/>
        <w:pBdr>
          <w:bottom w:val="single" w:sz="10" w:space="6" w:color="2E74B5"/>
        </w:pBdr>
      </w:pPr>
      <w:r>
        <w:t>解锁、设备与隐私：一次购买，长期保留使用权</w:t>
      </w:r>
    </w:p>
    <w:p>
      <w:pPr>
        <w:spacing w:after="200"/>
      </w:pPr>
      <w:r>
        <w:rPr>
          <w:color w:val="66788A"/>
        </w:rPr>
        <w:t>正式版采用序列号解锁，不在页面内直接展示支付入口。用户从购买平台取得序列号后，在解锁页完成设备绑定。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产品价格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9.99元／个序列号；实际售卖价格与活动规则以购买平台页面为准</w:t>
            </w:r>
          </w:p>
        </w:tc>
      </w:tr>
      <w:tr>
        <w:tc>
          <w:tcPr>
            <w:tcW w:type="dxa" w:w="2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设备数量</w:t>
            </w:r>
          </w:p>
        </w:tc>
        <w:tc>
          <w:tcPr>
            <w:tcW w:type="dxa" w:w="71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同一序列号最多绑定2台不同设备；第3台设备需要新的序列号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再次访问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已成功解锁的设备再次进入时显示“已解锁”、已绑定设备数、设备上限与剩余可绑定次数</w:t>
            </w:r>
          </w:p>
        </w:tc>
      </w:tr>
      <w:tr>
        <w:tc>
          <w:tcPr>
            <w:tcW w:type="dxa" w:w="22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服务端记录</w:t>
            </w:r>
          </w:p>
        </w:tc>
        <w:tc>
          <w:tcPr>
            <w:tcW w:type="dxa" w:w="71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正式序列号与设备绑定状态由服务端保存，避免只依赖浏览器一次性状态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异常处理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若无法解锁或序列号状态异常，请联系原购买平台客服并提供订单信息查询</w:t>
            </w:r>
          </w:p>
        </w:tc>
      </w:tr>
    </w:tbl>
    <w:p>
      <w:pPr>
        <w:spacing w:after="0"/>
      </w:pPr>
    </w:p>
    <w:p>
      <w:pPr>
        <w:pStyle w:val="Heading2"/>
      </w:pPr>
      <w:r>
        <w:t>为什么仍然不需要账号</w:t>
      </w:r>
    </w:p>
    <w:p>
      <w:r>
        <w:t>序列号用于验证使用权，不等于用户账号。志愿草稿仍以当前浏览器本地保存为主，系统不要求绑定姓名、手机号、微信或准考证。更换设备时，家长可以通过匿名JSON导出与导入迁移自己的草稿。</w:t>
      </w:r>
    </w:p>
    <w:p>
      <w:pPr>
        <w:pStyle w:val="Heading2"/>
      </w:pPr>
      <w:r>
        <w:t>建议用户保存的三样东西</w:t>
      </w:r>
    </w:p>
    <w:p>
      <w:pPr>
        <w:numPr>
          <w:ilvl w:val="0"/>
          <w:numId w:val="10"/>
        </w:numPr>
        <w:spacing w:after="140"/>
      </w:pPr>
      <w:r>
        <w:t>购买订单记录：出现序列号问题时用于向原购买平台客服查询。</w:t>
      </w:r>
    </w:p>
    <w:p>
      <w:pPr>
        <w:numPr>
          <w:ilvl w:val="0"/>
          <w:numId w:val="10"/>
        </w:numPr>
        <w:spacing w:after="140"/>
      </w:pPr>
      <w:r>
        <w:t>序列号：不要公开发布或转发给无关人员，以免消耗设备绑定名额。</w:t>
      </w:r>
    </w:p>
    <w:p>
      <w:pPr>
        <w:numPr>
          <w:ilvl w:val="0"/>
          <w:numId w:val="10"/>
        </w:numPr>
        <w:spacing w:after="140"/>
      </w:pPr>
      <w:r>
        <w:t>匿名志愿草稿：在重要调整后导出一份JSON备份；导出前确认没有自行填写身份信息。</w:t>
      </w:r>
    </w:p>
    <w:p>
      <w:pPr>
        <w:shd w:fill="EAF5F0"/>
        <w:spacing w:before="100" w:after="200" w:line="259" w:lineRule="auto"/>
        <w:ind w:left="230" w:right="230"/>
      </w:pPr>
      <w:r>
        <w:rPr>
          <w:b/>
          <w:color w:val="2D7C62"/>
        </w:rPr>
        <w:t>访问地址</w:t>
        <w:br/>
      </w:r>
      <w:r>
        <w:rPr>
          <w:color w:val="263849"/>
        </w:rPr>
        <w:t>备案、域名解析和服务器配置完成后，以 https://zhongkao.pinmooconsulting.com/ 为正式入口。若页面显示维护或备案提示，请以品沐咨询发布的最新通知为准。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10  ·  SYSTEM GUIDE</w:t>
      </w:r>
    </w:p>
    <w:p>
      <w:pPr>
        <w:pStyle w:val="Heading1"/>
        <w:pBdr>
          <w:bottom w:val="single" w:sz="10" w:space="6" w:color="2E74B5"/>
        </w:pBdr>
      </w:pPr>
      <w:r>
        <w:t>家长如何正确使用结果</w:t>
      </w:r>
    </w:p>
    <w:p>
      <w:pPr>
        <w:spacing w:after="200"/>
      </w:pPr>
      <w:r>
        <w:rPr>
          <w:color w:val="66788A"/>
        </w:rPr>
        <w:t>最好的使用方式不是追求一个“满分志愿表”，而是通过多轮模拟看清：分数变化后，哪些学校最敏感；志愿顺序变化后，哪些风险被放大；家庭能否接受真正的保底去向。</w:t>
      </w:r>
    </w:p>
    <w:p>
      <w:pPr>
        <w:pStyle w:val="Heading2"/>
      </w:pPr>
      <w:r>
        <w:t>推荐的家庭决策流程</w:t>
      </w:r>
    </w:p>
    <w:p>
      <w:pPr>
        <w:numPr>
          <w:ilvl w:val="0"/>
          <w:numId w:val="10"/>
        </w:numPr>
        <w:spacing w:after="140"/>
      </w:pPr>
      <w:r>
        <w:t>先用方向推荐生成一版均衡草案，建立大致学校范围。</w:t>
      </w:r>
    </w:p>
    <w:p>
      <w:pPr>
        <w:numPr>
          <w:ilvl w:val="0"/>
          <w:numId w:val="10"/>
        </w:numPr>
        <w:spacing w:after="140"/>
      </w:pPr>
      <w:r>
        <w:t>把学校按“最想去、可以接受、只作保底、明确不接受”分组，补充学费、住宿和区域限制。</w:t>
      </w:r>
    </w:p>
    <w:p>
      <w:pPr>
        <w:numPr>
          <w:ilvl w:val="0"/>
          <w:numId w:val="10"/>
        </w:numPr>
        <w:spacing w:after="140"/>
      </w:pPr>
      <w:r>
        <w:t>对1—3所核心目标学校使用目标学校模式，比较所需分值和合适志愿位置。</w:t>
      </w:r>
    </w:p>
    <w:p>
      <w:pPr>
        <w:numPr>
          <w:ilvl w:val="0"/>
          <w:numId w:val="10"/>
        </w:numPr>
        <w:spacing w:after="140"/>
      </w:pPr>
      <w:r>
        <w:t>将自己的最终想法放入方案求证，查看资格、梯度、志愿序号和未录取风险。</w:t>
      </w:r>
    </w:p>
    <w:p>
      <w:pPr>
        <w:numPr>
          <w:ilvl w:val="0"/>
          <w:numId w:val="10"/>
        </w:numPr>
        <w:spacing w:after="140"/>
      </w:pPr>
      <w:r>
        <w:t>分别用发挥不理想、正常和较好三个分数情景复核，不只测试一个中心分。</w:t>
      </w:r>
    </w:p>
    <w:p>
      <w:pPr>
        <w:numPr>
          <w:ilvl w:val="0"/>
          <w:numId w:val="10"/>
        </w:numPr>
        <w:spacing w:after="140"/>
      </w:pPr>
      <w:r>
        <w:t>保存两套方案：一套更贴近真实意愿，一套在成绩公布后可以迅速切换。</w:t>
      </w:r>
    </w:p>
    <w:p>
      <w:pPr>
        <w:numPr>
          <w:ilvl w:val="0"/>
          <w:numId w:val="10"/>
        </w:numPr>
        <w:spacing w:after="140"/>
      </w:pPr>
      <w:r>
        <w:t>正式提交前，逐项对照当年官方报考指南、学校招生简章和中考服务平台。</w:t>
      </w:r>
    </w:p>
    <w:p>
      <w:pPr>
        <w:pStyle w:val="Heading2"/>
      </w:pPr>
      <w:r>
        <w:t>常见误区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误区</w:t>
            </w:r>
          </w:p>
        </w:tc>
        <w:tc>
          <w:tcPr>
            <w:tcW w:type="dxa" w:w="5760"/>
            <w:shd w:fill="123B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正确做法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只按去年最低分从高到低排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同时看位次、梯度、末位志愿序号、计划变化和招生范围</w:t>
            </w:r>
          </w:p>
        </w:tc>
      </w:tr>
      <w:tr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分数达到学校线就一定能进</w:t>
            </w:r>
          </w:p>
        </w:tc>
        <w:tc>
          <w:tcPr>
            <w:tcW w:type="dxa" w:w="57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核对学校在哪个志愿序号完成录取，以及同分序号是否满足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所有志愿都填名气更大的学校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保留真实可接受的匹配与保底，避免机会结构全部集中在冲刺档</w:t>
            </w:r>
          </w:p>
        </w:tc>
      </w:tr>
      <w:tr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评分越高越代表学校越好</w:t>
            </w:r>
          </w:p>
        </w:tc>
        <w:tc>
          <w:tcPr>
            <w:tcW w:type="dxa" w:w="57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评分只评价志愿方案结构，不评价学校质量，也不替代家庭偏好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概率80%就是基本保证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任何概率都是统计估计；规则、计划、成绩分布和竞争热度都可能变化</w:t>
            </w:r>
          </w:p>
        </w:tc>
      </w:tr>
      <w:tr>
        <w:tc>
          <w:tcPr>
            <w:tcW w:type="dxa" w:w="360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专项报名后普通批次不用准备</w:t>
            </w:r>
          </w:p>
        </w:tc>
        <w:tc>
          <w:tcPr>
            <w:tcW w:type="dxa" w:w="5760"/>
            <w:shd w:fill="F5F8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849"/>
                <w:sz w:val="18"/>
              </w:rPr>
              <w:t>专项资格与录取存在不确定性，应同时准备普通高中志愿承接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11  ·  SYSTEM GUIDE</w:t>
      </w:r>
    </w:p>
    <w:p>
      <w:pPr>
        <w:pStyle w:val="Heading1"/>
        <w:pBdr>
          <w:bottom w:val="single" w:sz="10" w:space="6" w:color="2E74B5"/>
        </w:pBdr>
      </w:pPr>
      <w:r>
        <w:t>常见问题</w:t>
      </w:r>
    </w:p>
    <w:p>
      <w:pPr>
        <w:spacing w:after="200"/>
      </w:pPr>
      <w:r>
        <w:rPr>
          <w:color w:val="66788A"/>
        </w:rPr>
        <w:t>以下回答用于帮助家长理解产品边界。涉及个人资格和当年政策时，仍需向初中学校或招考部门核实。</w:t>
      </w:r>
    </w:p>
    <w:p>
      <w:pPr>
        <w:pStyle w:val="Heading2"/>
      </w:pPr>
      <w:r>
        <w:t>问题与回答</w:t>
      </w:r>
    </w:p>
    <w:p>
      <w:pPr>
        <w:pStyle w:val="Heading3"/>
        <w:keepNext/>
      </w:pPr>
      <w:r>
        <w:t>系统会直接告诉我“肯定能上哪所学校”吗？</w:t>
      </w:r>
    </w:p>
    <w:p>
      <w:pPr>
        <w:spacing w:after="160"/>
        <w:ind w:left="259"/>
      </w:pPr>
      <w:r>
        <w:t>不会。系统提供机会区间、档位与置信度，不显示100%录取，也不作任何录取承诺。</w:t>
      </w:r>
    </w:p>
    <w:p>
      <w:pPr>
        <w:pStyle w:val="Heading3"/>
        <w:keepNext/>
      </w:pPr>
      <w:r>
        <w:t>2026年的录取结果是否已经全部收录？</w:t>
      </w:r>
    </w:p>
    <w:p>
      <w:pPr>
        <w:spacing w:after="160"/>
        <w:ind w:left="259"/>
      </w:pPr>
      <w:r>
        <w:t>数据集会按官方公布进度更新。只有官方已经发布并通过校验的字段才能进入正式版本；尚未公布或无法可靠解析的内容会显示缺失或低置信度。</w:t>
      </w:r>
    </w:p>
    <w:p>
      <w:pPr>
        <w:pStyle w:val="Heading3"/>
        <w:keepNext/>
      </w:pPr>
      <w:r>
        <w:t>为什么同一所学校不同考生看到的建议不一样？</w:t>
      </w:r>
    </w:p>
    <w:p>
      <w:pPr>
        <w:spacing w:after="160"/>
        <w:ind w:left="259"/>
      </w:pPr>
      <w:r>
        <w:t>考生类别、户籍与学籍区、跨区、名额分配资格、志愿位置、估分区间和家庭偏好都会改变可报范围与模拟结果。</w:t>
      </w:r>
    </w:p>
    <w:p>
      <w:pPr>
        <w:pStyle w:val="Heading3"/>
        <w:keepNext/>
      </w:pPr>
      <w:r>
        <w:t>为什么某校分数比我低，系统仍提示风险？</w:t>
      </w:r>
    </w:p>
    <w:p>
      <w:pPr>
        <w:spacing w:after="160"/>
        <w:ind w:left="259"/>
      </w:pPr>
      <w:r>
        <w:t>学校可能在更早志愿已经完成计划，或考生受到招生范围、梯度、同分序号和计划类型限制。最低分不能单独决定结果。</w:t>
      </w:r>
    </w:p>
    <w:p>
      <w:pPr>
        <w:pStyle w:val="Heading3"/>
        <w:keepNext/>
      </w:pPr>
      <w:r>
        <w:t>学校排名按什么排？</w:t>
      </w:r>
    </w:p>
    <w:p>
      <w:pPr>
        <w:spacing w:after="160"/>
        <w:ind w:left="259"/>
      </w:pPr>
      <w:r>
        <w:t>系统优先使用可核验的录取门槛位次、招生规模和波动程度，不提供主观学校质量总榜。方向推荐在同机会档内优先兼顾户籍所在区。</w:t>
      </w:r>
    </w:p>
    <w:p>
      <w:pPr>
        <w:pStyle w:val="Heading3"/>
        <w:keepNext/>
      </w:pPr>
      <w:r>
        <w:t>高考出口率、重本率会进入推荐吗？</w:t>
      </w:r>
    </w:p>
    <w:p>
      <w:pPr>
        <w:spacing w:after="160"/>
        <w:ind w:left="259"/>
      </w:pPr>
      <w:r>
        <w:t>不会直接进入录取模型。学校自报的高考成绩或升学率口径不统一，只能作为注明年份和来源的独立参考，不能直接横向比较。</w:t>
      </w:r>
    </w:p>
    <w:p>
      <w:pPr>
        <w:pStyle w:val="Heading3"/>
        <w:keepNext/>
      </w:pPr>
      <w:r>
        <w:t>换手机或电脑后还能用吗？</w:t>
      </w:r>
    </w:p>
    <w:p>
      <w:pPr>
        <w:spacing w:after="160"/>
        <w:ind w:left="259"/>
      </w:pPr>
      <w:r>
        <w:t>可以。同一序列号最多绑定2台不同设备；达到上限后，第3台设备需要新的序列号。志愿草稿建议通过匿名JSON自行迁移。</w:t>
      </w:r>
    </w:p>
    <w:p>
      <w:pPr>
        <w:pStyle w:val="Heading3"/>
        <w:keepNext/>
      </w:pPr>
      <w:r>
        <w:t>系统能代替学校老师或官方填报平台吗？</w:t>
      </w:r>
    </w:p>
    <w:p>
      <w:pPr>
        <w:spacing w:after="160"/>
        <w:ind w:left="259"/>
      </w:pPr>
      <w:r>
        <w:t>不能。它用于信息整理、情景模拟和风险提示，正式填报必须在官方平台完成，并以当年政策和学校通知为准。</w:t>
      </w:r>
    </w:p>
    <w:p>
      <w:r>
        <w:br w:type="page"/>
      </w:r>
    </w:p>
    <w:p>
      <w:pPr>
        <w:spacing w:before="80" w:after="60"/>
      </w:pPr>
      <w:r>
        <w:rPr>
          <w:b/>
          <w:color w:val="E7A629"/>
          <w:sz w:val="17"/>
        </w:rPr>
        <w:t>12  ·  SYSTEM GUIDE</w:t>
      </w:r>
    </w:p>
    <w:p>
      <w:pPr>
        <w:pStyle w:val="Heading1"/>
        <w:pBdr>
          <w:bottom w:val="single" w:sz="10" w:space="6" w:color="2E74B5"/>
        </w:pBdr>
      </w:pPr>
      <w:r>
        <w:t>官方依据与免责声明</w:t>
      </w:r>
    </w:p>
    <w:p>
      <w:pPr>
        <w:spacing w:after="200"/>
      </w:pPr>
      <w:r>
        <w:rPr>
          <w:color w:val="66788A"/>
        </w:rPr>
        <w:t>系统以广州市招生考试委员会办公室、广州市教育局及中考服务平台的正式发布为最高依据。以下链接便于家长核对规则与原始数据。</w:t>
      </w:r>
    </w:p>
    <w:p>
      <w:pPr>
        <w:pStyle w:val="ListBullet"/>
      </w:pPr>
      <w:hyperlink r:id="rId14">
        <w:r>
          <w:rPr>
            <w:color w:val="2E74B5"/>
            <w:u w:val="single"/>
          </w:rPr>
          <w:t>2026年广州市高中阶段学校招生报考指南及志愿模拟表</w:t>
        </w:r>
      </w:hyperlink>
      <w:r>
        <w:rPr>
          <w:color w:val="66788A"/>
          <w:sz w:val="16"/>
        </w:rPr>
        <w:br/>
        <w:t>https://gzzk.gz.gov.cn/attachment/8/8027/8027351/10816553.pdf</w:t>
      </w:r>
    </w:p>
    <w:p>
      <w:pPr>
        <w:pStyle w:val="ListBullet"/>
      </w:pPr>
      <w:hyperlink r:id="rId15">
        <w:r>
          <w:rPr>
            <w:color w:val="2E74B5"/>
            <w:u w:val="single"/>
          </w:rPr>
          <w:t>2026年广州市中考志愿填报问答</w:t>
        </w:r>
      </w:hyperlink>
      <w:r>
        <w:rPr>
          <w:color w:val="66788A"/>
          <w:sz w:val="16"/>
        </w:rPr>
        <w:br/>
        <w:t>https://gzzk.gz.gov.cn/gkmlpt/content/10/10811/post_10811628.html?jump=true</w:t>
      </w:r>
    </w:p>
    <w:p>
      <w:pPr>
        <w:pStyle w:val="ListBullet"/>
      </w:pPr>
      <w:hyperlink r:id="rId16">
        <w:r>
          <w:rPr>
            <w:color w:val="2E74B5"/>
            <w:u w:val="single"/>
          </w:rPr>
          <w:t>广州市中考历年录取分数栏目</w:t>
        </w:r>
      </w:hyperlink>
      <w:r>
        <w:rPr>
          <w:color w:val="66788A"/>
          <w:sz w:val="16"/>
        </w:rPr>
        <w:br/>
        <w:t>https://gzzk.gz.gov.cn/zkzz/zkxx/lnfs/index.html</w:t>
      </w:r>
    </w:p>
    <w:p>
      <w:pPr>
        <w:pStyle w:val="ListBullet"/>
      </w:pPr>
      <w:hyperlink r:id="rId17">
        <w:r>
          <w:rPr>
            <w:color w:val="2E74B5"/>
            <w:u w:val="single"/>
          </w:rPr>
          <w:t>2026年广州市高中阶段学校招生录取控制线</w:t>
        </w:r>
      </w:hyperlink>
      <w:r>
        <w:rPr>
          <w:color w:val="66788A"/>
          <w:sz w:val="16"/>
        </w:rPr>
        <w:br/>
        <w:t>https://gzzk.gz.gov.cn/zkzz/zkxx/wjtz/content/post_10907243.html</w:t>
      </w:r>
    </w:p>
    <w:p>
      <w:pPr>
        <w:pStyle w:val="Heading2"/>
      </w:pPr>
      <w:r>
        <w:t>完整免责声明</w:t>
      </w:r>
    </w:p>
    <w:p>
      <w:pPr>
        <w:shd w:fill="FFF6DF"/>
        <w:spacing w:before="100" w:after="200" w:line="259" w:lineRule="auto"/>
        <w:ind w:left="230" w:right="230"/>
      </w:pPr>
      <w:r>
        <w:rPr>
          <w:b/>
          <w:color w:val="B54747"/>
        </w:rPr>
        <w:t>请在正式填报前再次阅读</w:t>
        <w:br/>
      </w:r>
      <w:r>
        <w:rPr>
          <w:color w:val="263849"/>
        </w:rPr>
        <w:t>本系统依据公开招生政策及历史数据进行模拟分析，所示评分、录取机会和学校建议均为统计估计，不代表官方录取结果或任何录取承诺。招生政策、计划、报考范围、成绩分布和志愿竞争每年可能变化，请以当年广州市教育局、广州市招生考试委员会办公室及中考服务平台最终公布的信息为准。名额分配、随迁子女、跨区及其他资格请向学校或招考部门核实。志愿选择由考生及监护人自行决定。本系统仅供参考。</w:t>
      </w:r>
    </w:p>
    <w:p>
      <w:pPr>
        <w:spacing w:after="200"/>
      </w:pPr>
    </w:p>
    <w:p>
      <w:pPr>
        <w:jc w:val="center"/>
      </w:pPr>
      <w:r>
        <w:rPr>
          <w:b/>
          <w:color w:val="123B66"/>
          <w:sz w:val="28"/>
        </w:rPr>
        <w:t>广州中考志愿模拟助手</w:t>
      </w:r>
    </w:p>
    <w:p>
      <w:pPr>
        <w:jc w:val="center"/>
      </w:pPr>
      <w:r>
        <w:rPr>
          <w:color w:val="66788A"/>
        </w:rPr>
        <w:t>由品沐咨询提供｜让每一次志愿调整都有依据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品沐咨询 · 仅供参考   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BD5DF"/>
      </w:pBdr>
    </w:pPr>
    <w:r>
      <w:rPr>
        <w:color w:val="66788A"/>
        <w:sz w:val="17"/>
      </w:rPr>
      <w:t>广州中考志愿模拟助手｜系统详细介绍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638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B6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66788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Microsoft YaHei" w:hAnsi="Microsoft YaHei" w:eastAsia="Microsoft YaHei"/>
      <w:color w:val="263849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9" w:lineRule="auto"/>
      <w:contextualSpacing/>
    </w:pPr>
    <w:rPr>
      <w:rFonts w:ascii="Microsoft YaHei" w:hAnsi="Microsoft YaHei" w:eastAsia="Microsoft YaHei"/>
      <w:color w:val="263849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zhongkao.pinmooconsulting.com/" TargetMode="External"/><Relationship Id="rId14" Type="http://schemas.openxmlformats.org/officeDocument/2006/relationships/hyperlink" Target="https://gzzk.gz.gov.cn/attachment/8/8027/8027351/10816553.pdf" TargetMode="External"/><Relationship Id="rId15" Type="http://schemas.openxmlformats.org/officeDocument/2006/relationships/hyperlink" Target="https://gzzk.gz.gov.cn/gkmlpt/content/10/10811/post_10811628.html?jump=true" TargetMode="External"/><Relationship Id="rId16" Type="http://schemas.openxmlformats.org/officeDocument/2006/relationships/hyperlink" Target="https://gzzk.gz.gov.cn/zkzz/zkxx/lnfs/index.html" TargetMode="External"/><Relationship Id="rId17" Type="http://schemas.openxmlformats.org/officeDocument/2006/relationships/hyperlink" Target="https://gzzk.gz.gov.cn/zkzz/zkxx/wjtz/content/post_1090724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广州中考志愿模拟助手｜系统详细介绍</dc:title>
  <dc:subject>产品功能、录取逻辑、数据口径、使用流程与免责声明</dc:subject>
  <dc:creator>品沐咨询</dc:creator>
  <cp:keywords>广州中考, 志愿填报, 志愿模拟, 梯度保护, 品沐咨询</cp:keywords>
  <dc:description>2026版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