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1、工程师的学习与进步</w:t>
      </w:r>
    </w:p>
    <w:p>
      <w:r>
        <w:drawing>
          <wp:inline distT="0" distB="0" distL="114300" distR="114300">
            <wp:extent cx="5268595" cy="2839085"/>
            <wp:effectExtent l="0" t="0" r="825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336800"/>
            <wp:effectExtent l="0" t="0" r="1016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go底层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2.1、对go的启动和执行流程建立简单的宏观认识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2.1.1、理解可执行文件</w:t>
      </w:r>
    </w:p>
    <w:p>
      <w:r>
        <w:drawing>
          <wp:inline distT="0" distB="0" distL="114300" distR="114300">
            <wp:extent cx="5259070" cy="2338070"/>
            <wp:effectExtent l="0" t="0" r="1778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0340" cy="2461260"/>
            <wp:effectExtent l="0" t="0" r="16510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C3A359E"/>
    <w:multiLevelType w:val="singleLevel"/>
    <w:tmpl w:val="AC3A359E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DBE063C"/>
    <w:rsid w:val="296254C5"/>
    <w:rsid w:val="39890A08"/>
    <w:rsid w:val="579612FC"/>
    <w:rsid w:val="5A05149F"/>
    <w:rsid w:val="7DBF5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gzc0918</dc:creator>
  <cp:lastModifiedBy>gzc0918</cp:lastModifiedBy>
  <dcterms:modified xsi:type="dcterms:W3CDTF">2021-05-22T13:25:24Z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